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E42CFA"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E42CFA"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E42CFA"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E42CFA"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E42CFA"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E42CFA"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43430F"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D8312E" w:rsidR="00B475DB" w:rsidP="0043430F" w:rsidRDefault="00B475DB" w14:paraId="51F75DB3" w14:textId="77777777">
                <w:pPr>
                  <w:tabs>
                    <w:tab w:val="left" w:pos="426"/>
                  </w:tabs>
                  <w:spacing w:after="120"/>
                  <w:rPr>
                    <w:bCs/>
                    <w:lang w:val="fr-BE" w:eastAsia="en-GB"/>
                  </w:rPr>
                </w:pPr>
                <w:r w:rsidRPr="00D8312E">
                  <w:rPr>
                    <w:bCs/>
                    <w:lang w:val="fr-BE" w:eastAsia="en-GB"/>
                  </w:rPr>
                  <w:t>FISMA E2</w:t>
                </w:r>
              </w:p>
              <w:p w:rsidRPr="0043430F" w:rsidR="0043430F" w:rsidP="0043430F" w:rsidRDefault="00B475DB" w14:paraId="1B434D20" w14:textId="6C8EAFE9">
                <w:pPr>
                  <w:tabs>
                    <w:tab w:val="left" w:pos="426"/>
                  </w:tabs>
                  <w:spacing w:after="120"/>
                  <w:rPr>
                    <w:bCs/>
                    <w:lang w:val="fr-BE" w:eastAsia="en-GB"/>
                  </w:rPr>
                </w:pPr>
                <w:r w:rsidRPr="0043430F">
                  <w:rPr>
                    <w:bCs/>
                    <w:lang w:val="fr-BE" w:eastAsia="en-GB"/>
                  </w:rPr>
                  <w:t xml:space="preserve">FISMA - </w:t>
                </w:r>
                <w:r w:rsidRPr="00283E35" w:rsidR="0043430F">
                  <w:rPr>
                    <w:lang w:eastAsia="en-GB"/>
                  </w:rPr>
                  <w:t>Stabilité financière, services financiers et union des marchés des capitaux</w:t>
                </w:r>
              </w:p>
              <w:p w:rsidR="00B475DB" w:rsidP="0043430F" w:rsidRDefault="00B475DB" w14:paraId="384BAAFB" w14:textId="523E3464">
                <w:pPr>
                  <w:tabs>
                    <w:tab w:val="left" w:pos="426"/>
                  </w:tabs>
                  <w:spacing w:after="120"/>
                  <w:rPr>
                    <w:bCs/>
                    <w:lang w:val="fr-BE" w:eastAsia="en-GB"/>
                  </w:rPr>
                </w:pPr>
                <w:r w:rsidRPr="00B475DB">
                  <w:rPr>
                    <w:bCs/>
                    <w:lang w:val="fr-BE" w:eastAsia="en-GB"/>
                  </w:rPr>
                  <w:t xml:space="preserve">DIR E - </w:t>
                </w:r>
                <w:r w:rsidRPr="0043430F" w:rsidR="0043430F">
                  <w:rPr>
                    <w:bCs/>
                    <w:lang w:val="fr-BE" w:eastAsia="en-GB"/>
                  </w:rPr>
                  <w:t>Stabilité financière, sanctions et application du droit</w:t>
                </w:r>
              </w:p>
              <w:p w:rsidRPr="0043430F" w:rsidR="00377580" w:rsidP="00B475DB" w:rsidRDefault="00B475DB" w14:paraId="2AA4F572" w14:textId="4C896E45">
                <w:pPr>
                  <w:tabs>
                    <w:tab w:val="left" w:pos="426"/>
                  </w:tabs>
                  <w:rPr>
                    <w:bCs/>
                    <w:lang w:val="fr-BE" w:eastAsia="en-GB"/>
                  </w:rPr>
                </w:pPr>
                <w:r w:rsidRPr="00B475DB">
                  <w:rPr>
                    <w:bCs/>
                    <w:lang w:val="fr-BE" w:eastAsia="en-GB"/>
                  </w:rPr>
                  <w:t xml:space="preserve">E2 - </w:t>
                </w:r>
                <w:r w:rsidRPr="00283E35" w:rsidR="0043430F">
                  <w:rPr>
                    <w:lang w:eastAsia="en-GB"/>
                  </w:rPr>
                  <w:t>Systèmes financiers nationaux</w:t>
                </w:r>
              </w:p>
            </w:tc>
          </w:sdtContent>
        </w:sdt>
      </w:tr>
      <w:tr w:rsidRPr="00D54361"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B475DB" w14:paraId="51C87C16" w14:textId="3561BE94">
                <w:pPr>
                  <w:tabs>
                    <w:tab w:val="left" w:pos="426"/>
                  </w:tabs>
                  <w:rPr>
                    <w:bCs/>
                    <w:lang w:val="en-IE" w:eastAsia="en-GB"/>
                  </w:rPr>
                </w:pPr>
                <w:r w:rsidRPr="00B475DB">
                  <w:rPr>
                    <w:bCs/>
                    <w:lang w:val="fr-BE" w:eastAsia="en-GB"/>
                  </w:rPr>
                  <w:t>235746</w:t>
                </w:r>
              </w:p>
            </w:tc>
          </w:sdtContent>
        </w:sdt>
      </w:tr>
      <w:tr w:rsidRPr="00D8312E"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008C6059" w:rsidP="005F6927" w:rsidRDefault="008C6059" w14:paraId="172B225D" w14:textId="77777777">
            <w:pPr>
              <w:tabs>
                <w:tab w:val="left" w:pos="1697"/>
              </w:tabs>
              <w:ind w:right="-1739"/>
              <w:contextualSpacing/>
              <w:rPr>
                <w:bCs/>
                <w:szCs w:val="24"/>
                <w:lang w:val="fr-BE" w:eastAsia="en-GB"/>
              </w:rPr>
            </w:pPr>
          </w:p>
          <w:p w:rsidR="008C6059" w:rsidP="005F6927" w:rsidRDefault="008C6059" w14:paraId="4F04C3FA" w14:textId="77777777">
            <w:pPr>
              <w:tabs>
                <w:tab w:val="left" w:pos="1697"/>
              </w:tabs>
              <w:ind w:right="-1739"/>
              <w:contextualSpacing/>
              <w:rPr>
                <w:bCs/>
                <w:szCs w:val="24"/>
                <w:lang w:val="fr-BE" w:eastAsia="en-GB"/>
              </w:rPr>
            </w:pPr>
          </w:p>
          <w:p w:rsidRPr="001D3EEC" w:rsidR="00377580" w:rsidP="005F6927" w:rsidRDefault="00377580" w14:paraId="3A297E0D" w14:textId="6CD1FDDC">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B475DB" w:rsidR="00B475DB" w:rsidP="0043430F" w:rsidRDefault="00B475DB" w14:paraId="244F3A15" w14:textId="77777777">
                <w:pPr>
                  <w:tabs>
                    <w:tab w:val="left" w:pos="426"/>
                  </w:tabs>
                  <w:spacing w:after="0"/>
                  <w:rPr>
                    <w:bCs/>
                    <w:lang w:val="fr-BE" w:eastAsia="en-GB"/>
                  </w:rPr>
                </w:pPr>
                <w:r w:rsidRPr="00B475DB">
                  <w:rPr>
                    <w:bCs/>
                    <w:lang w:val="fr-BE" w:eastAsia="en-GB"/>
                  </w:rPr>
                  <w:t xml:space="preserve">Rainer </w:t>
                </w:r>
                <w:proofErr w:type="spellStart"/>
                <w:r w:rsidRPr="00B475DB">
                  <w:rPr>
                    <w:bCs/>
                    <w:lang w:val="fr-BE" w:eastAsia="en-GB"/>
                  </w:rPr>
                  <w:t>Wichern</w:t>
                </w:r>
                <w:proofErr w:type="spellEnd"/>
              </w:p>
              <w:p w:rsidRPr="00B475DB" w:rsidR="00B475DB" w:rsidP="0043430F" w:rsidRDefault="00B475DB" w14:paraId="0E740495" w14:textId="77777777">
                <w:pPr>
                  <w:tabs>
                    <w:tab w:val="left" w:pos="426"/>
                  </w:tabs>
                  <w:spacing w:after="0"/>
                  <w:rPr>
                    <w:bCs/>
                    <w:lang w:val="fr-BE" w:eastAsia="en-GB"/>
                  </w:rPr>
                </w:pPr>
                <w:r w:rsidRPr="00B475DB">
                  <w:rPr>
                    <w:bCs/>
                    <w:lang w:val="fr-BE" w:eastAsia="en-GB"/>
                  </w:rPr>
                  <w:t>rainer.wichern@ec.europa.eu</w:t>
                </w:r>
              </w:p>
              <w:p w:rsidRPr="00080A71" w:rsidR="00377580" w:rsidP="00B475DB" w:rsidRDefault="00B475DB" w14:paraId="369CA7C8" w14:textId="13E09083">
                <w:pPr>
                  <w:tabs>
                    <w:tab w:val="left" w:pos="426"/>
                  </w:tabs>
                  <w:rPr>
                    <w:bCs/>
                    <w:lang w:val="en-IE" w:eastAsia="en-GB"/>
                  </w:rPr>
                </w:pPr>
                <w:r w:rsidRPr="00B475DB">
                  <w:rPr>
                    <w:bCs/>
                    <w:lang w:val="fr-BE" w:eastAsia="en-GB"/>
                  </w:rPr>
                  <w:t>+32 2 299 61 40</w:t>
                </w:r>
              </w:p>
            </w:sdtContent>
          </w:sdt>
          <w:p w:rsidRPr="001D3EEC" w:rsidR="00377580" w:rsidP="005F6927" w:rsidRDefault="00E42CFA" w14:paraId="32DD8032" w14:textId="64EFF7BB">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E0E63">
                  <w:rPr>
                    <w:bCs/>
                    <w:lang w:val="fr-BE" w:eastAsia="en-GB"/>
                  </w:rPr>
                  <w:t>2</w:t>
                </w:r>
                <w:r w:rsidRPr="00AE0E63" w:rsidR="00AE0E63">
                  <w:rPr>
                    <w:bCs/>
                    <w:vertAlign w:val="superscript"/>
                    <w:lang w:val="fr-BE" w:eastAsia="en-GB"/>
                  </w:rPr>
                  <w:t>ième</w:t>
                </w:r>
                <w:r w:rsidR="00AE0E63">
                  <w:rPr>
                    <w:bCs/>
                    <w:lang w:val="fr-BE" w:eastAsia="en-GB"/>
                  </w:rPr>
                  <w:t xml:space="preserve"> </w:t>
                </w:r>
              </w:sdtContent>
            </w:sdt>
            <w:r w:rsidRPr="001D3EEC" w:rsidR="00377580">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A3C5E">
                      <w:rPr>
                        <w:bCs/>
                        <w:lang w:val="en-IE" w:eastAsia="en-GB"/>
                      </w:rPr>
                      <w:t>2025</w:t>
                    </w:r>
                  </w:sdtContent>
                </w:sdt>
              </w:sdtContent>
            </w:sdt>
            <w:r w:rsidRPr="001D3EEC" w:rsidR="00377580">
              <w:rPr>
                <w:bCs/>
                <w:lang w:val="fr-BE" w:eastAsia="en-GB"/>
              </w:rPr>
              <w:t xml:space="preserve"> </w:t>
            </w:r>
          </w:p>
          <w:p w:rsidRPr="00D8312E" w:rsidR="00377580" w:rsidP="005F6927" w:rsidRDefault="00B475DB" w14:paraId="768BBE26" w14:textId="09FE581E">
            <w:pPr>
              <w:tabs>
                <w:tab w:val="left" w:pos="426"/>
              </w:tabs>
              <w:contextualSpacing/>
              <w:jc w:val="left"/>
              <w:rPr>
                <w:bCs/>
                <w:szCs w:val="24"/>
                <w:lang w:val="en-IE" w:eastAsia="en-GB"/>
              </w:rPr>
            </w:pPr>
            <w:r w:rsidRPr="00D8312E">
              <w:rPr>
                <w:bCs/>
                <w:lang w:val="en-IE" w:eastAsia="en-GB"/>
              </w:rPr>
              <w:t>2</w:t>
            </w:r>
            <w:r w:rsidRPr="00D8312E" w:rsidR="00377580">
              <w:rPr>
                <w:bCs/>
                <w:lang w:val="en-IE" w:eastAsia="en-GB"/>
              </w:rPr>
              <w:t xml:space="preserve"> </w:t>
            </w:r>
            <w:proofErr w:type="spellStart"/>
            <w:r w:rsidRPr="00D8312E" w:rsidR="00377580">
              <w:rPr>
                <w:bCs/>
                <w:lang w:val="en-IE" w:eastAsia="en-GB"/>
              </w:rPr>
              <w:t>années</w:t>
            </w:r>
            <w:proofErr w:type="spellEnd"/>
            <w:r w:rsidRPr="00D8312E" w:rsidR="00377580">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Pr="00D8312E">
                  <w:rPr>
                    <w:rFonts w:hint="eastAsia" w:ascii="MS Gothic" w:hAnsi="MS Gothic" w:eastAsia="MS Gothic"/>
                    <w:bCs/>
                    <w:szCs w:val="24"/>
                    <w:lang w:val="en-IE" w:eastAsia="en-GB"/>
                  </w:rPr>
                  <w:t>☒</w:t>
                </w:r>
              </w:sdtContent>
            </w:sdt>
            <w:r w:rsidRPr="00D8312E" w:rsidR="00377580">
              <w:rPr>
                <w:bCs/>
                <w:lang w:val="en-IE" w:eastAsia="en-GB"/>
              </w:rPr>
              <w:t xml:space="preserve"> </w:t>
            </w:r>
            <w:proofErr w:type="spellStart"/>
            <w:r w:rsidRPr="00D8312E" w:rsidR="00377580">
              <w:rPr>
                <w:bCs/>
                <w:lang w:val="en-IE" w:eastAsia="en-GB"/>
              </w:rPr>
              <w:t>Bruxelles</w:t>
            </w:r>
            <w:proofErr w:type="spellEnd"/>
            <w:r w:rsidRPr="00D8312E" w:rsidR="00377580">
              <w:rPr>
                <w:bCs/>
                <w:lang w:val="en-IE" w:eastAsia="en-GB"/>
              </w:rPr>
              <w:t xml:space="preserve"> </w:t>
            </w:r>
            <w:r w:rsidRPr="00D8312E" w:rsidR="0092295D">
              <w:rPr>
                <w:bCs/>
                <w:lang w:val="en-IE" w:eastAsia="en-GB"/>
              </w:rPr>
              <w:t xml:space="preserve"> </w:t>
            </w:r>
            <w:r w:rsidRPr="00D8312E" w:rsidR="00377580">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Pr="00D8312E" w:rsidR="00377580">
                  <w:rPr>
                    <w:rFonts w:ascii="MS Gothic" w:hAnsi="MS Gothic" w:eastAsia="MS Gothic"/>
                    <w:bCs/>
                    <w:szCs w:val="24"/>
                    <w:lang w:val="en-IE" w:eastAsia="en-GB"/>
                  </w:rPr>
                  <w:t>☐</w:t>
                </w:r>
              </w:sdtContent>
            </w:sdt>
            <w:r w:rsidRPr="00D8312E" w:rsidR="00377580">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Pr="00D8312E" w:rsidR="00377580">
                  <w:rPr>
                    <w:rFonts w:ascii="MS Gothic" w:hAnsi="MS Gothic" w:eastAsia="MS Gothic"/>
                    <w:bCs/>
                    <w:szCs w:val="24"/>
                    <w:lang w:val="en-IE" w:eastAsia="en-GB"/>
                  </w:rPr>
                  <w:t>☐</w:t>
                </w:r>
              </w:sdtContent>
            </w:sdt>
            <w:r w:rsidRPr="00D8312E" w:rsidR="00377580">
              <w:rPr>
                <w:bCs/>
                <w:szCs w:val="24"/>
                <w:lang w:val="en-IE" w:eastAsia="en-GB"/>
              </w:rPr>
              <w:t xml:space="preserve"> </w:t>
            </w:r>
            <w:proofErr w:type="spellStart"/>
            <w:r w:rsidRPr="00D8312E" w:rsidR="00377580">
              <w:rPr>
                <w:bCs/>
                <w:szCs w:val="24"/>
                <w:lang w:val="en-IE" w:eastAsia="en-GB"/>
              </w:rPr>
              <w:t>Autre</w:t>
            </w:r>
            <w:proofErr w:type="spellEnd"/>
            <w:r w:rsidRPr="00D8312E" w:rsidR="00377580">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Pr="00D8312E" w:rsidR="00377580">
                  <w:rPr>
                    <w:rStyle w:val="PlaceholderText"/>
                    <w:lang w:val="en-IE"/>
                  </w:rPr>
                  <w:t>Click or tap here to enter text.</w:t>
                </w:r>
              </w:sdtContent>
            </w:sdt>
          </w:p>
          <w:p w:rsidRPr="00D8312E" w:rsidR="00377580" w:rsidP="005F6927" w:rsidRDefault="00377580" w14:paraId="6A0ABCA6" w14:textId="77777777">
            <w:pPr>
              <w:tabs>
                <w:tab w:val="left" w:pos="426"/>
              </w:tabs>
              <w:spacing w:after="0"/>
              <w:contextualSpacing/>
              <w:rPr>
                <w:bCs/>
                <w:lang w:val="en-I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14ACEBEA">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43AA43AF">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E42CFA" w14:paraId="592E0483" w14:textId="68FDF560">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D8312E">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5A2E7EDD">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D8312E">
                  <w:rPr>
                    <w:rFonts w:hint="eastAsia"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D8312E">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D8312E">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D8312E">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E42CFA"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E42CFA" w14:paraId="77C548F6" w14:textId="320778F5">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B475DB">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dtPr>
              <w:sdtEndPr/>
              <w:sdtContent>
                <w:r w:rsidRPr="00B475DB" w:rsidR="00B475DB">
                  <w:rPr>
                    <w:bCs/>
                    <w:szCs w:val="24"/>
                    <w:lang w:val="fr-BE" w:eastAsia="en-GB"/>
                  </w:rPr>
                  <w:t>EBRD, ESM, IMF</w:t>
                </w:r>
              </w:sdtContent>
            </w:sdt>
          </w:p>
          <w:p w:rsidRPr="001D3EEC" w:rsidR="00A65B97" w:rsidP="00A65B97" w:rsidRDefault="00A65B97" w14:paraId="2B5ABBA0" w14:textId="197DDCAE">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901B01"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53FEB74D">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1C53D1E8">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E42CFA">
                  <w:rPr>
                    <w:bCs/>
                    <w:lang w:val="fr-BE" w:eastAsia="en-GB"/>
                  </w:rPr>
                  <w:t>26-05-2025</w:t>
                </w:r>
              </w:sdtContent>
            </w:sdt>
          </w:p>
        </w:tc>
      </w:tr>
    </w:tbl>
    <w:p w:rsidR="0043430F" w:rsidRDefault="0043430F" w14:paraId="424A444A" w14:textId="77777777">
      <w:pPr>
        <w:spacing w:after="0"/>
        <w:jc w:val="left"/>
        <w:rPr>
          <w:b/>
          <w:bCs/>
          <w:lang w:val="en-IE" w:eastAsia="en-GB"/>
        </w:rPr>
      </w:pPr>
      <w:r>
        <w:rPr>
          <w:b/>
          <w:bCs/>
          <w:lang w:val="en-IE" w:eastAsia="en-GB"/>
        </w:rPr>
        <w:br w:type="page"/>
      </w: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p w:rsidRPr="00415090" w:rsidR="00415090" w:rsidP="00415090" w:rsidRDefault="00415090" w14:paraId="32C5AF55" w14:textId="77777777">
      <w:pPr>
        <w:rPr>
          <w:lang w:val="fr-BE" w:eastAsia="en-GB"/>
        </w:rPr>
      </w:pPr>
      <w:r w:rsidRPr="00415090">
        <w:rPr>
          <w:lang w:val="fr-BE" w:eastAsia="en-GB"/>
        </w:rPr>
        <w:t xml:space="preserve">Nous proposons un emploi intéressant et exigeant au sein de la direction générale de la stabilité financière, des services financiers et de l’union des marchés des capitaux (DG FISMA), chargé de garantir des marchés financiers stables et compétitifs à l’échelle mondiale dans l’intérêt des entreprises et des consommateurs et de promouvoir la croissance et la création d’emplois.  </w:t>
      </w:r>
    </w:p>
    <w:p w:rsidRPr="00415090" w:rsidR="00D54361" w:rsidP="00415090" w:rsidRDefault="00415090" w14:paraId="05B0C07C" w14:textId="64E41B7B">
      <w:pPr>
        <w:rPr>
          <w:lang w:val="fr-BE" w:eastAsia="en-GB"/>
        </w:rPr>
      </w:pPr>
      <w:r w:rsidRPr="00415090">
        <w:rPr>
          <w:lang w:val="fr-BE" w:eastAsia="en-GB"/>
        </w:rPr>
        <w:t>L’unité E2 surveille les secteurs financiers des États membres dans le but de détecter les risques pour la stabilité financière et de formuler des mesures politiques à l’appui de l’union de l’épargne et de l’investissement, ainsi que des réponses politiques à toute autre question du secteur financier.</w:t>
      </w:r>
    </w:p>
    <w:p w:rsidR="00B31DC8" w:rsidP="001A0074" w:rsidRDefault="00B31DC8" w14:paraId="28AD0173" w14:textId="2B27CB6F">
      <w:pPr>
        <w:rPr>
          <w:b/>
          <w:bCs/>
          <w:lang w:val="fr-BE" w:eastAsia="en-GB"/>
        </w:rPr>
      </w:pPr>
      <w:r w:rsidRPr="001D3EEC">
        <w:rPr>
          <w:b/>
          <w:bCs/>
          <w:lang w:val="fr-BE" w:eastAsia="en-GB"/>
        </w:rPr>
        <w:t>Présentation du poste (nous proposons)</w:t>
      </w:r>
    </w:p>
    <w:p w:rsidRPr="00415090" w:rsidR="00415090" w:rsidP="00415090" w:rsidRDefault="00415090" w14:paraId="4C8A272B" w14:textId="7AA2B463">
      <w:pPr>
        <w:rPr>
          <w:lang w:val="fr-BE" w:eastAsia="en-GB"/>
        </w:rPr>
      </w:pPr>
      <w:r>
        <w:rPr>
          <w:lang w:val="fr-BE" w:eastAsia="en-GB"/>
        </w:rPr>
        <w:t xml:space="preserve">- </w:t>
      </w:r>
      <w:r w:rsidRPr="00415090">
        <w:rPr>
          <w:lang w:val="fr-BE" w:eastAsia="en-GB"/>
        </w:rPr>
        <w:t xml:space="preserve">Un environnement de travail international dynamique et difficile au sein d’une équipe diversifiée d’économistes et d’avocats motivés. </w:t>
      </w:r>
    </w:p>
    <w:p w:rsidRPr="00415090" w:rsidR="00415090" w:rsidP="00415090" w:rsidRDefault="00415090" w14:paraId="6B0D8BBD" w14:textId="372EB9B6">
      <w:pPr>
        <w:rPr>
          <w:lang w:val="fr-BE" w:eastAsia="en-GB"/>
        </w:rPr>
      </w:pPr>
      <w:r>
        <w:rPr>
          <w:lang w:val="fr-BE" w:eastAsia="en-GB"/>
        </w:rPr>
        <w:t xml:space="preserve">- </w:t>
      </w:r>
      <w:r w:rsidRPr="00415090">
        <w:rPr>
          <w:lang w:val="fr-BE" w:eastAsia="en-GB"/>
        </w:rPr>
        <w:t>Il</w:t>
      </w:r>
      <w:r w:rsidR="004B35A1">
        <w:rPr>
          <w:lang w:val="fr-BE" w:eastAsia="en-GB"/>
        </w:rPr>
        <w:t>/elle</w:t>
      </w:r>
      <w:r w:rsidRPr="00415090">
        <w:rPr>
          <w:lang w:val="fr-BE" w:eastAsia="en-GB"/>
        </w:rPr>
        <w:t xml:space="preserve"> suivra, analysera et rendra compte des principales évolutions économiques et financières dans certains États membres. Une attention particulière est accordée au secteur bancaire et à sa surveillance, ainsi qu’à l’analyse des effets économiques de la réglementation financière. </w:t>
      </w:r>
    </w:p>
    <w:p w:rsidRPr="00415090" w:rsidR="00415090" w:rsidP="00415090" w:rsidRDefault="00415090" w14:paraId="01B6B9D1" w14:textId="5F063B0B">
      <w:pPr>
        <w:rPr>
          <w:lang w:val="fr-BE" w:eastAsia="en-GB"/>
        </w:rPr>
      </w:pPr>
      <w:r>
        <w:rPr>
          <w:lang w:val="fr-BE" w:eastAsia="en-GB"/>
        </w:rPr>
        <w:t xml:space="preserve">- </w:t>
      </w:r>
      <w:r w:rsidRPr="00415090">
        <w:rPr>
          <w:lang w:val="fr-BE" w:eastAsia="en-GB"/>
        </w:rPr>
        <w:t xml:space="preserve">Il/elle contribuera également à la mise en œuvre des priorités du Semestre européen, à la mise en œuvre des plans pour la reprise et la résilience ainsi qu’au récent projet d’union de l’épargne et de l’investissement à l’échelle de la Commission. </w:t>
      </w:r>
    </w:p>
    <w:p w:rsidRPr="00415090" w:rsidR="00415090" w:rsidP="00415090" w:rsidRDefault="00415090" w14:paraId="5A03269F" w14:textId="5478C255">
      <w:pPr>
        <w:rPr>
          <w:lang w:val="fr-BE" w:eastAsia="en-GB"/>
        </w:rPr>
      </w:pPr>
      <w:r>
        <w:rPr>
          <w:lang w:val="fr-BE" w:eastAsia="en-GB"/>
        </w:rPr>
        <w:t xml:space="preserve">- </w:t>
      </w:r>
      <w:r w:rsidRPr="00415090">
        <w:rPr>
          <w:lang w:val="fr-BE" w:eastAsia="en-GB"/>
        </w:rPr>
        <w:t xml:space="preserve">Ce poste implique des interactions régulières avec d’autres services de la Commission, des institutions de l’UE (BCE, MES, BERD), des autorités nationales et des parties prenantes privées, y compris des banques et d’autres institutions financières.  </w:t>
      </w:r>
    </w:p>
    <w:p w:rsidRPr="00415090" w:rsidR="00415090" w:rsidP="00415090" w:rsidRDefault="00415090" w14:paraId="5FCB8F1D" w14:textId="483C5345">
      <w:pPr>
        <w:rPr>
          <w:lang w:val="fr-BE" w:eastAsia="en-GB"/>
        </w:rPr>
      </w:pPr>
      <w:r>
        <w:rPr>
          <w:lang w:val="fr-BE" w:eastAsia="en-GB"/>
        </w:rPr>
        <w:t xml:space="preserve">- </w:t>
      </w:r>
      <w:r w:rsidRPr="00415090">
        <w:rPr>
          <w:lang w:val="fr-BE" w:eastAsia="en-GB"/>
        </w:rPr>
        <w:t>Un ensemble complet de possibilités d’apprentissage et de formation est proposé, axé sur les besoins du poste.</w:t>
      </w:r>
    </w:p>
    <w:p w:rsidR="001A0074" w:rsidP="001A0074" w:rsidRDefault="00B31DC8" w14:paraId="69B92155" w14:textId="09A29639">
      <w:pPr>
        <w:pStyle w:val="ListNumber"/>
        <w:numPr>
          <w:ilvl w:val="0"/>
          <w:numId w:val="0"/>
        </w:numPr>
        <w:ind w:left="709" w:hanging="709"/>
        <w:rPr>
          <w:b/>
          <w:bCs/>
          <w:lang w:val="fr-BE" w:eastAsia="en-GB"/>
        </w:rPr>
      </w:pPr>
      <w:r w:rsidRPr="001D3EEC">
        <w:rPr>
          <w:b/>
          <w:bCs/>
          <w:lang w:val="fr-BE" w:eastAsia="en-GB"/>
        </w:rPr>
        <w:t>Profil du titulaire (nous recherchons)</w:t>
      </w:r>
    </w:p>
    <w:p w:rsidRPr="00415090" w:rsidR="00415090" w:rsidP="00415090" w:rsidRDefault="00415090" w14:paraId="28FBD23D" w14:textId="77777777">
      <w:pPr>
        <w:pStyle w:val="ListNumber"/>
        <w:numPr>
          <w:ilvl w:val="0"/>
          <w:numId w:val="0"/>
        </w:numPr>
        <w:rPr>
          <w:lang w:val="fr-BE" w:eastAsia="en-GB"/>
        </w:rPr>
      </w:pPr>
      <w:r w:rsidRPr="00415090">
        <w:rPr>
          <w:lang w:val="fr-BE" w:eastAsia="en-GB"/>
        </w:rPr>
        <w:t xml:space="preserve">Le/la candidat (e) retenu (e) doit avoir le profil </w:t>
      </w:r>
      <w:proofErr w:type="gramStart"/>
      <w:r w:rsidRPr="00415090">
        <w:rPr>
          <w:lang w:val="fr-BE" w:eastAsia="en-GB"/>
        </w:rPr>
        <w:t>suivant:</w:t>
      </w:r>
      <w:proofErr w:type="gramEnd"/>
      <w:r w:rsidRPr="00415090">
        <w:rPr>
          <w:lang w:val="fr-BE" w:eastAsia="en-GB"/>
        </w:rPr>
        <w:t xml:space="preserve"> </w:t>
      </w:r>
    </w:p>
    <w:p w:rsidRPr="00415090" w:rsidR="00415090" w:rsidP="00415090" w:rsidRDefault="00415090" w14:paraId="5FBD4813" w14:textId="3982309F">
      <w:pPr>
        <w:pStyle w:val="ListNumber"/>
        <w:numPr>
          <w:ilvl w:val="0"/>
          <w:numId w:val="0"/>
        </w:numPr>
        <w:rPr>
          <w:lang w:val="fr-BE" w:eastAsia="en-GB"/>
        </w:rPr>
      </w:pPr>
      <w:r>
        <w:rPr>
          <w:lang w:val="fr-BE" w:eastAsia="en-GB"/>
        </w:rPr>
        <w:t xml:space="preserve">- </w:t>
      </w:r>
      <w:r w:rsidRPr="00415090">
        <w:rPr>
          <w:lang w:val="fr-BE" w:eastAsia="en-GB"/>
        </w:rPr>
        <w:t xml:space="preserve">Au moins 3 ans d’expérience dans l’analyse macroéconomique et/ou financière appliquée. </w:t>
      </w:r>
    </w:p>
    <w:p w:rsidRPr="00415090" w:rsidR="00415090" w:rsidP="00415090" w:rsidRDefault="00415090" w14:paraId="7B82D98A" w14:textId="53000810">
      <w:pPr>
        <w:pStyle w:val="ListNumber"/>
        <w:numPr>
          <w:ilvl w:val="0"/>
          <w:numId w:val="0"/>
        </w:numPr>
        <w:rPr>
          <w:lang w:val="fr-BE" w:eastAsia="en-GB"/>
        </w:rPr>
      </w:pPr>
      <w:r>
        <w:rPr>
          <w:lang w:val="fr-BE" w:eastAsia="en-GB"/>
        </w:rPr>
        <w:t xml:space="preserve">- </w:t>
      </w:r>
      <w:r w:rsidRPr="00415090">
        <w:rPr>
          <w:lang w:val="fr-BE" w:eastAsia="en-GB"/>
        </w:rPr>
        <w:t xml:space="preserve">Une expérience dans le domaine bancaire, de la réglementation financière ou de la comptabilité est un atout. Une connaissance des politiques et de la législation de l’UE dans le domaine de l’union bancaire, de l’union des marchés des capitaux, de la résolution des PNP, de la surveillance macroprudentielle, du droit de l’insolvabilité, de la finance durable et de la finance numérique serait appréciée.  </w:t>
      </w:r>
    </w:p>
    <w:p w:rsidRPr="00415090" w:rsidR="00415090" w:rsidP="00415090" w:rsidRDefault="00415090" w14:paraId="31829A61" w14:textId="44225FFB">
      <w:pPr>
        <w:pStyle w:val="ListNumber"/>
        <w:numPr>
          <w:ilvl w:val="0"/>
          <w:numId w:val="0"/>
        </w:numPr>
        <w:ind w:left="709" w:hanging="709"/>
        <w:rPr>
          <w:lang w:val="fr-BE" w:eastAsia="en-GB"/>
        </w:rPr>
      </w:pPr>
      <w:r>
        <w:rPr>
          <w:lang w:val="fr-BE" w:eastAsia="en-GB"/>
        </w:rPr>
        <w:t xml:space="preserve">- </w:t>
      </w:r>
      <w:r w:rsidRPr="00415090">
        <w:rPr>
          <w:lang w:val="fr-BE" w:eastAsia="en-GB"/>
        </w:rPr>
        <w:t>De bonnes compétences rédactionnelles en anglais sont essentielles.</w:t>
      </w: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0A7D311F" w:rsidRDefault="00215A56" w14:paraId="5C4AB867" w14:textId="5AC363BD" w14:noSpellErr="1">
      <w:pPr>
        <w:rPr>
          <w:lang w:val="fr-FR" w:eastAsia="en-GB"/>
        </w:rPr>
      </w:pPr>
      <w:r w:rsidRPr="0A7D311F" w:rsidR="00215A56">
        <w:rPr>
          <w:u w:val="single"/>
          <w:lang w:val="fr-FR" w:eastAsia="en-GB"/>
        </w:rPr>
        <w:t>Employeur :</w:t>
      </w:r>
      <w:r w:rsidRPr="0A7D311F" w:rsidR="00443957">
        <w:rPr>
          <w:lang w:val="fr-FR" w:eastAsia="en-GB"/>
        </w:rPr>
        <w:t xml:space="preserve"> </w:t>
      </w:r>
      <w:r w:rsidRPr="0A7D311F" w:rsidR="000914BF">
        <w:rPr>
          <w:lang w:val="fr-FR" w:eastAsia="en-GB"/>
        </w:rPr>
        <w:t xml:space="preserve">être employé par </w:t>
      </w:r>
      <w:r w:rsidRPr="0A7D311F" w:rsidR="00443957">
        <w:rPr>
          <w:lang w:val="fr-FR" w:eastAsia="en-GB"/>
        </w:rPr>
        <w:t xml:space="preserve">une administration publique nationale, régionale ou locale, ou </w:t>
      </w:r>
      <w:r w:rsidRPr="0A7D311F" w:rsidR="000914BF">
        <w:rPr>
          <w:lang w:val="fr-FR" w:eastAsia="en-GB"/>
        </w:rPr>
        <w:t>par une organisation intergouvernementale</w:t>
      </w:r>
      <w:r w:rsidRPr="0A7D311F" w:rsidR="00443957">
        <w:rPr>
          <w:lang w:val="fr-FR" w:eastAsia="en-GB"/>
        </w:rPr>
        <w:t xml:space="preserve"> (OIG</w:t>
      </w:r>
      <w:r w:rsidRPr="0A7D311F" w:rsidR="00443957">
        <w:rPr>
          <w:lang w:val="fr-FR" w:eastAsia="en-GB"/>
        </w:rPr>
        <w:t>);</w:t>
      </w:r>
      <w:r w:rsidRPr="0A7D311F" w:rsidR="00443957">
        <w:rPr>
          <w:lang w:val="fr-FR" w:eastAsia="en-GB"/>
        </w:rPr>
        <w:t xml:space="preserve"> </w:t>
      </w:r>
      <w:r w:rsidRPr="0A7D311F" w:rsidR="000914BF">
        <w:rPr>
          <w:lang w:val="fr-FR" w:eastAsia="en-GB"/>
        </w:rPr>
        <w:t xml:space="preserve">exceptionnellement et après dérogation, la Commission peut accepter des candidatures </w:t>
      </w:r>
      <w:r w:rsidRPr="0A7D311F" w:rsidR="00866E7F">
        <w:rPr>
          <w:lang w:val="fr-FR" w:eastAsia="en-GB"/>
        </w:rPr>
        <w:t>lorsque votre</w:t>
      </w:r>
      <w:r w:rsidRPr="0A7D311F" w:rsidR="004D3B51">
        <w:rPr>
          <w:lang w:val="fr-FR" w:eastAsia="en-GB"/>
        </w:rPr>
        <w:t xml:space="preserve"> </w:t>
      </w:r>
      <w:r w:rsidRPr="0A7D311F" w:rsidR="000914BF">
        <w:rPr>
          <w:lang w:val="fr-FR" w:eastAsia="en-GB"/>
        </w:rPr>
        <w:t xml:space="preserve">employeur </w:t>
      </w:r>
      <w:r w:rsidRPr="0A7D311F" w:rsidR="00866E7F">
        <w:rPr>
          <w:lang w:val="fr-FR" w:eastAsia="en-GB"/>
        </w:rPr>
        <w:t>est un organisme</w:t>
      </w:r>
      <w:r w:rsidRPr="0A7D311F" w:rsidR="004D3B51">
        <w:rPr>
          <w:lang w:val="fr-FR" w:eastAsia="en-GB"/>
        </w:rPr>
        <w:t xml:space="preserve"> </w:t>
      </w:r>
      <w:r w:rsidRPr="0A7D311F" w:rsidR="000914BF">
        <w:rPr>
          <w:lang w:val="fr-FR" w:eastAsia="en-GB"/>
        </w:rPr>
        <w:t>du secteur public (e.g. agence ou institut de régularisation)</w:t>
      </w:r>
      <w:r w:rsidRPr="0A7D311F" w:rsidR="006F23BA">
        <w:rPr>
          <w:lang w:val="fr-FR" w:eastAsia="en-GB"/>
        </w:rPr>
        <w:t xml:space="preserve">, </w:t>
      </w:r>
      <w:r w:rsidRPr="0A7D311F"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t>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10AC1"/>
    <w:rsid w:val="00171D25"/>
    <w:rsid w:val="001A0074"/>
    <w:rsid w:val="001D3EEC"/>
    <w:rsid w:val="001F54F6"/>
    <w:rsid w:val="00215A56"/>
    <w:rsid w:val="00265C45"/>
    <w:rsid w:val="0028413D"/>
    <w:rsid w:val="002841B7"/>
    <w:rsid w:val="00295719"/>
    <w:rsid w:val="002A6E30"/>
    <w:rsid w:val="002B37EB"/>
    <w:rsid w:val="002C6026"/>
    <w:rsid w:val="00301CA3"/>
    <w:rsid w:val="00377580"/>
    <w:rsid w:val="00394581"/>
    <w:rsid w:val="004078B3"/>
    <w:rsid w:val="00415090"/>
    <w:rsid w:val="0043430F"/>
    <w:rsid w:val="00443957"/>
    <w:rsid w:val="00462268"/>
    <w:rsid w:val="004A4BB7"/>
    <w:rsid w:val="004B35A1"/>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A3C5E"/>
    <w:rsid w:val="008C6059"/>
    <w:rsid w:val="00901B01"/>
    <w:rsid w:val="0092295D"/>
    <w:rsid w:val="00A65B97"/>
    <w:rsid w:val="00A917BE"/>
    <w:rsid w:val="00AE0E63"/>
    <w:rsid w:val="00B31DC8"/>
    <w:rsid w:val="00B475DB"/>
    <w:rsid w:val="00B566C1"/>
    <w:rsid w:val="00B64DC1"/>
    <w:rsid w:val="00BB58D1"/>
    <w:rsid w:val="00BF389A"/>
    <w:rsid w:val="00C518F5"/>
    <w:rsid w:val="00CD072E"/>
    <w:rsid w:val="00D54361"/>
    <w:rsid w:val="00D703FC"/>
    <w:rsid w:val="00D82B48"/>
    <w:rsid w:val="00D8312E"/>
    <w:rsid w:val="00DC5C83"/>
    <w:rsid w:val="00E0579E"/>
    <w:rsid w:val="00E42CFA"/>
    <w:rsid w:val="00E5708E"/>
    <w:rsid w:val="00E850B7"/>
    <w:rsid w:val="00E91886"/>
    <w:rsid w:val="00E927FE"/>
    <w:rsid w:val="00F3132A"/>
    <w:rsid w:val="00F42B5F"/>
    <w:rsid w:val="00F65CC2"/>
    <w:rsid w:val="0A7D3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4150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841756">
      <w:bodyDiv w:val="1"/>
      <w:marLeft w:val="0"/>
      <w:marRight w:val="0"/>
      <w:marTop w:val="0"/>
      <w:marBottom w:val="0"/>
      <w:divBdr>
        <w:top w:val="none" w:sz="0" w:space="0" w:color="auto"/>
        <w:left w:val="none" w:sz="0" w:space="0" w:color="auto"/>
        <w:bottom w:val="none" w:sz="0" w:space="0" w:color="auto"/>
        <w:right w:val="none" w:sz="0" w:space="0" w:color="auto"/>
      </w:divBdr>
      <w:divsChild>
        <w:div w:id="1270702665">
          <w:marLeft w:val="0"/>
          <w:marRight w:val="0"/>
          <w:marTop w:val="0"/>
          <w:marBottom w:val="0"/>
          <w:divBdr>
            <w:top w:val="none" w:sz="0" w:space="0" w:color="auto"/>
            <w:left w:val="none" w:sz="0" w:space="0" w:color="auto"/>
            <w:bottom w:val="none" w:sz="0" w:space="0" w:color="auto"/>
            <w:right w:val="none" w:sz="0" w:space="0" w:color="auto"/>
          </w:divBdr>
        </w:div>
      </w:divsChild>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B951852"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2946BB5D"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77DBE"/>
    <w:multiLevelType w:val="multilevel"/>
    <w:tmpl w:val="7456A0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40365105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71D25"/>
    <w:rsid w:val="004078B3"/>
    <w:rsid w:val="00534FB6"/>
    <w:rsid w:val="007818B4"/>
    <w:rsid w:val="008F2A96"/>
    <w:rsid w:val="00983F83"/>
    <w:rsid w:val="00B36F01"/>
    <w:rsid w:val="00B64DC1"/>
    <w:rsid w:val="00CB23CA"/>
    <w:rsid w:val="00E96C07"/>
    <w:rsid w:val="00F00294"/>
    <w:rsid w:val="00F313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7A9DBA-85CD-40D3-B93C-34D311C271DA}"/>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http://schemas.microsoft.com/office/infopath/2007/PartnerControls"/>
    <ds:schemaRef ds:uri="http://purl.org/dc/elements/1.1/"/>
    <ds:schemaRef ds:uri="a41a97bf-0494-41d8-ba3d-259bd7771890"/>
    <ds:schemaRef ds:uri="http://schemas.microsoft.com/sharepoint/v3/fields"/>
    <ds:schemaRef ds:uri="http://schemas.microsoft.com/office/2006/documentManagement/types"/>
    <ds:schemaRef ds:uri="http://schemas.openxmlformats.org/package/2006/metadata/core-properties"/>
    <ds:schemaRef ds:uri="1929b814-5a78-4bdc-9841-d8b9ef424f65"/>
    <ds:schemaRef ds:uri="08927195-b699-4be0-9ee2-6c66dc215b5a"/>
    <ds:schemaRef ds:uri="http://schemas.microsoft.com/office/2006/metadata/properties"/>
    <ds:schemaRef ds:uri="http://purl.org/dc/dcmityp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2025-03-11T18:25:00Z</dcterms:created>
  <dcterms:modified xsi:type="dcterms:W3CDTF">2025-03-13T16:53:30Z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