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76985">
                <w:pPr>
                  <w:pStyle w:val="ZCom"/>
                </w:pPr>
                <w:sdt>
                  <w:sdtPr>
                    <w:id w:val="1852987933"/>
                    <w:dataBinding w:xpath="/Texts/OrgaRoot" w:storeItemID="{4EF90DE6-88B6-4264-9629-4D8DFDFE87D2}"/>
                    <w:text w:multiLine="1"/>
                  </w:sdtPr>
                  <w:sdtEndPr/>
                  <w:sdtContent>
                    <w:r w:rsidR="003E3E7E">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786241CD" w14:textId="02C53090" w:rsidR="00B65513" w:rsidRPr="0007110E" w:rsidRDefault="00FA4959" w:rsidP="00E82667">
                <w:pPr>
                  <w:tabs>
                    <w:tab w:val="left" w:pos="426"/>
                  </w:tabs>
                  <w:spacing w:before="120"/>
                  <w:rPr>
                    <w:bCs/>
                  </w:rPr>
                </w:pPr>
                <w:r>
                  <w:t>MOVE – C – C.4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Pr>
              <w:p w14:paraId="26B6BD75" w14:textId="1E0F554B" w:rsidR="00D96984" w:rsidRPr="0007110E" w:rsidRDefault="006E7A0B" w:rsidP="00E82667">
                <w:pPr>
                  <w:tabs>
                    <w:tab w:val="left" w:pos="426"/>
                  </w:tabs>
                  <w:spacing w:before="120"/>
                  <w:rPr>
                    <w:bCs/>
                  </w:rPr>
                </w:pPr>
                <w:r>
                  <w:t>418010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de contact:</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5FF58B86" w14:textId="4CD841B6" w:rsidR="00431B77" w:rsidRPr="009A3CCB" w:rsidRDefault="00431B77" w:rsidP="00E82667">
            <w:pPr>
              <w:tabs>
                <w:tab w:val="left" w:pos="1697"/>
              </w:tabs>
              <w:ind w:right="-1739"/>
              <w:contextualSpacing/>
              <w:rPr>
                <w:bCs/>
                <w:szCs w:val="24"/>
                <w:lang w:val="fr-BE" w:eastAsia="en-GB"/>
              </w:rPr>
            </w:pPr>
          </w:p>
          <w:p w14:paraId="324479C0" w14:textId="2AB795AB" w:rsidR="00E21DBD" w:rsidRPr="0007110E" w:rsidRDefault="00E21DBD" w:rsidP="00E82667">
            <w:pPr>
              <w:tabs>
                <w:tab w:val="left" w:pos="1697"/>
              </w:tabs>
              <w:ind w:right="-1739"/>
              <w:contextualSpacing/>
              <w:rPr>
                <w:bCs/>
                <w:szCs w:val="24"/>
              </w:rPr>
            </w:pPr>
            <w:r>
              <w:t>Durée: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63F74154" w:rsidR="00E21DBD" w:rsidRPr="0007110E" w:rsidRDefault="00854DE2" w:rsidP="00E82667">
                <w:pPr>
                  <w:tabs>
                    <w:tab w:val="left" w:pos="426"/>
                  </w:tabs>
                  <w:spacing w:before="120"/>
                  <w:rPr>
                    <w:bCs/>
                  </w:rPr>
                </w:pPr>
                <w:r>
                  <w:t>Joachim LUECKING</w:t>
                </w:r>
              </w:p>
            </w:sdtContent>
          </w:sdt>
          <w:p w14:paraId="34CF737A" w14:textId="7BA5B4B4" w:rsidR="00E21DBD" w:rsidRPr="0007110E" w:rsidRDefault="00F76985" w:rsidP="00E82667">
            <w:pPr>
              <w:tabs>
                <w:tab w:val="left" w:pos="426"/>
              </w:tabs>
              <w:contextualSpacing/>
              <w:rPr>
                <w:bCs/>
              </w:rPr>
            </w:pPr>
            <w:sdt>
              <w:sdtPr>
                <w:rPr>
                  <w:bCs/>
                </w:rPr>
                <w:id w:val="1175461244"/>
                <w:placeholder>
                  <w:docPart w:val="DefaultPlaceholder_-1854013440"/>
                </w:placeholder>
              </w:sdtPr>
              <w:sdtEndPr/>
              <w:sdtContent>
                <w:r w:rsidR="003E3E7E">
                  <w:t>4…</w:t>
                </w:r>
              </w:sdtContent>
            </w:sdt>
            <w:r w:rsidR="003E3E7E">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E3E7E">
                  <w:t>2025</w:t>
                </w:r>
              </w:sdtContent>
            </w:sdt>
          </w:p>
          <w:p w14:paraId="158DD156" w14:textId="1F5DC893" w:rsidR="00E21DBD" w:rsidRPr="0007110E" w:rsidRDefault="00F76985" w:rsidP="00E82667">
            <w:pPr>
              <w:tabs>
                <w:tab w:val="left" w:pos="426"/>
              </w:tabs>
              <w:contextualSpacing/>
              <w:jc w:val="left"/>
              <w:rPr>
                <w:bCs/>
                <w:szCs w:val="24"/>
              </w:rPr>
            </w:pPr>
            <w:sdt>
              <w:sdtPr>
                <w:rPr>
                  <w:bCs/>
                </w:rPr>
                <w:id w:val="202528730"/>
                <w:placeholder>
                  <w:docPart w:val="DefaultPlaceholder_-1854013440"/>
                </w:placeholder>
              </w:sdtPr>
              <w:sdtEndPr/>
              <w:sdtContent>
                <w:r w:rsidR="003E3E7E">
                  <w:t>2… années</w:t>
                </w:r>
              </w:sdtContent>
            </w:sdt>
            <w:r w:rsidR="003E3E7E">
              <w:t xml:space="preserve"> (avec extension possible jusqu’à 2 ans) </w:t>
            </w:r>
            <w:r w:rsidR="003E3E7E">
              <w:br/>
            </w:r>
            <w:sdt>
              <w:sdtPr>
                <w:rPr>
                  <w:bCs/>
                  <w:szCs w:val="24"/>
                </w:rPr>
                <w:id w:val="-69433268"/>
                <w14:checkbox>
                  <w14:checked w14:val="1"/>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Bruxelles </w:t>
            </w:r>
            <w:sdt>
              <w:sdtPr>
                <w:rPr>
                  <w:bCs/>
                  <w:szCs w:val="24"/>
                </w:rPr>
                <w:id w:val="1282158214"/>
                <w14:checkbox>
                  <w14:checked w14:val="0"/>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Luxembourg </w:t>
            </w:r>
            <w:sdt>
              <w:sdtPr>
                <w:rPr>
                  <w:bCs/>
                  <w:szCs w:val="24"/>
                </w:rPr>
                <w:id w:val="-432676822"/>
                <w14:checkbox>
                  <w14:checked w14:val="0"/>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Autre: </w:t>
            </w:r>
            <w:sdt>
              <w:sdtPr>
                <w:rPr>
                  <w:bCs/>
                  <w:szCs w:val="24"/>
                </w:rPr>
                <w:id w:val="-186994276"/>
                <w:placeholder>
                  <w:docPart w:val="42CE55A0461841A39534A5E777539A67"/>
                </w:placeholder>
              </w:sdtPr>
              <w:sdtEndPr/>
              <w:sdtContent/>
            </w:sdt>
          </w:p>
          <w:p w14:paraId="7CA484B0" w14:textId="77777777" w:rsidR="00E21DBD" w:rsidRPr="009A3CCB"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49CD741F" w:rsidR="00E21DBD" w:rsidRPr="0007110E" w:rsidRDefault="00F76985" w:rsidP="00E82667">
            <w:pPr>
              <w:tabs>
                <w:tab w:val="left" w:pos="426"/>
              </w:tabs>
              <w:spacing w:before="120"/>
              <w:rPr>
                <w:bCs/>
              </w:rPr>
            </w:pPr>
            <w:sdt>
              <w:sdtPr>
                <w:id w:val="-1760439849"/>
                <w14:checkbox>
                  <w14:checked w14:val="1"/>
                  <w14:checkedState w14:val="2612" w14:font="MS Gothic"/>
                  <w14:uncheckedState w14:val="2610" w14:font="MS Gothic"/>
                </w14:checkbox>
              </w:sdtPr>
              <w:sdtEndPr/>
              <w:sdtContent>
                <w:r w:rsidR="00265B92">
                  <w:rPr>
                    <w:rFonts w:ascii="MS Gothic" w:eastAsia="MS Gothic" w:hAnsi="MS Gothic" w:hint="eastAsia"/>
                  </w:rPr>
                  <w:t>☒</w:t>
                </w:r>
              </w:sdtContent>
            </w:sdt>
            <w:r w:rsidR="003E3E7E">
              <w:t xml:space="preserve"> Avec indemnités            </w:t>
            </w:r>
            <w:r w:rsidR="003E3E7E">
              <w:sym w:font="Wingdings" w:char="F0A8"/>
            </w:r>
            <w:r w:rsidR="003E3E7E">
              <w:t xml:space="preserve">  Sans frais</w:t>
            </w:r>
          </w:p>
        </w:tc>
      </w:tr>
      <w:tr w:rsidR="00E21DBD" w:rsidRPr="00994062" w14:paraId="539D0BAC" w14:textId="77777777" w:rsidTr="00854DE2">
        <w:trPr>
          <w:trHeight w:val="3856"/>
        </w:trPr>
        <w:tc>
          <w:tcPr>
            <w:tcW w:w="8602" w:type="dxa"/>
            <w:gridSpan w:val="2"/>
          </w:tcPr>
          <w:p w14:paraId="582FFE97" w14:textId="38200397" w:rsidR="00E21DBD" w:rsidRPr="0007110E" w:rsidRDefault="00E21DBD" w:rsidP="00E82667">
            <w:pPr>
              <w:tabs>
                <w:tab w:val="left" w:pos="426"/>
              </w:tabs>
              <w:spacing w:before="120"/>
              <w:rPr>
                <w:bCs/>
              </w:rPr>
            </w:pPr>
            <w:r>
              <w:t>Cet avis de vacance est ouvert aux:</w:t>
            </w:r>
          </w:p>
          <w:p w14:paraId="4446CE69" w14:textId="46D36B50" w:rsidR="00E21DBD" w:rsidRDefault="00F76985" w:rsidP="00E21DBD">
            <w:pPr>
              <w:tabs>
                <w:tab w:val="left" w:pos="426"/>
              </w:tabs>
              <w:contextualSpacing/>
              <w:rPr>
                <w:bCs/>
              </w:rPr>
            </w:pPr>
            <w:sdt>
              <w:sdtPr>
                <w:id w:val="1217938409"/>
                <w14:checkbox>
                  <w14:checked w14:val="1"/>
                  <w14:checkedState w14:val="2612" w14:font="MS Gothic"/>
                  <w14:uncheckedState w14:val="2610" w14:font="MS Gothic"/>
                </w14:checkbox>
              </w:sdtPr>
              <w:sdtEndPr/>
              <w:sdtContent>
                <w:r w:rsidR="00265B92">
                  <w:rPr>
                    <w:rFonts w:ascii="MS Gothic" w:eastAsia="MS Gothic" w:hAnsi="MS Gothic" w:hint="eastAsia"/>
                  </w:rPr>
                  <w:t>☒</w:t>
                </w:r>
              </w:sdtContent>
            </w:sdt>
            <w:r w:rsidR="003E3E7E">
              <w:t xml:space="preserve"> États membres de l’UE</w:t>
            </w:r>
          </w:p>
          <w:p w14:paraId="07159D5A" w14:textId="77777777" w:rsidR="003E3E7E" w:rsidRDefault="003E3E7E" w:rsidP="00E21DBD">
            <w:pPr>
              <w:tabs>
                <w:tab w:val="left" w:pos="426"/>
              </w:tabs>
              <w:contextualSpacing/>
              <w:rPr>
                <w:bCs/>
                <w:szCs w:val="24"/>
                <w:lang w:eastAsia="en-GB"/>
              </w:rPr>
            </w:pPr>
          </w:p>
          <w:p w14:paraId="41B550FE" w14:textId="59EA556E" w:rsidR="0040388A" w:rsidRDefault="0040388A" w:rsidP="002C49D0">
            <w:pPr>
              <w:tabs>
                <w:tab w:val="left" w:pos="426"/>
              </w:tabs>
              <w:spacing w:after="120"/>
              <w:ind w:left="567"/>
              <w:rPr>
                <w:bCs/>
                <w:szCs w:val="24"/>
              </w:rPr>
            </w:pPr>
            <w:r>
              <w:t>ainsi qu’aux</w:t>
            </w:r>
          </w:p>
          <w:p w14:paraId="48418475" w14:textId="6331CDD6" w:rsidR="0040388A" w:rsidRPr="0007110E" w:rsidRDefault="00F76985"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pays AELE suivants:</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Suisse</w:t>
            </w:r>
          </w:p>
          <w:p w14:paraId="0E54D6FB" w14:textId="4EF3712C" w:rsidR="0040388A" w:rsidRPr="0007110E" w:rsidRDefault="00F76985"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pays tiers suivants: </w:t>
            </w:r>
            <w:sdt>
              <w:sdtPr>
                <w:rPr>
                  <w:bCs/>
                  <w:szCs w:val="24"/>
                </w:rPr>
                <w:id w:val="1742369941"/>
                <w:placeholder>
                  <w:docPart w:val="335C0F1576B3499F8D90CE979ABE47D4"/>
                </w:placeholder>
                <w:showingPlcHdr/>
              </w:sdtPr>
              <w:sdtEndPr/>
              <w:sdtContent>
                <w:r w:rsidR="003E3E7E">
                  <w:rPr>
                    <w:rStyle w:val="PlaceholderText"/>
                  </w:rPr>
                  <w:t xml:space="preserve"> …. </w:t>
                </w:r>
              </w:sdtContent>
            </w:sdt>
          </w:p>
          <w:p w14:paraId="265CD5A1" w14:textId="0FD11D7C" w:rsidR="0040388A" w:rsidRDefault="00F76985"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3E3E7E">
                  <w:rPr>
                    <w:rFonts w:ascii="MS Gothic" w:eastAsia="MS Gothic" w:hAnsi="MS Gothic" w:hint="eastAsia"/>
                    <w:bCs/>
                    <w:szCs w:val="24"/>
                    <w:lang w:eastAsia="en-GB"/>
                  </w:rPr>
                  <w:t>☐</w:t>
                </w:r>
              </w:sdtContent>
            </w:sdt>
            <w:r w:rsidR="003E3E7E">
              <w:t xml:space="preserve"> organisations intergouvernementales suivantes:</w:t>
            </w:r>
            <w:r w:rsidR="003E3E7E">
              <w:tab/>
            </w:r>
            <w:sdt>
              <w:sdtPr>
                <w:rPr>
                  <w:bCs/>
                  <w:szCs w:val="24"/>
                </w:rPr>
                <w:id w:val="1349070026"/>
                <w:placeholder>
                  <w:docPart w:val="42F8A5B327594E519C9F00EDCE7CD95B"/>
                </w:placeholder>
                <w:showingPlcHdr/>
              </w:sdtPr>
              <w:sdtEndPr/>
              <w:sdtContent>
                <w:r w:rsidR="003E3E7E">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37FCCB95" w:rsidR="00E21DBD" w:rsidRPr="0007110E" w:rsidRDefault="003E3E7E" w:rsidP="00252050">
            <w:pPr>
              <w:tabs>
                <w:tab w:val="left" w:pos="426"/>
              </w:tabs>
              <w:rPr>
                <w:bCs/>
              </w:rPr>
            </w:pPr>
            <w:r>
              <w:sym w:font="Wingdings" w:char="F0A8"/>
            </w:r>
            <w:r>
              <w:t xml:space="preserve"> Pays de l’accord en nature AELE/EEE (Islande, Liechtenstein, Norvège et Suisse)</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Date limite de dépôt des candidatures</w:t>
            </w:r>
          </w:p>
        </w:tc>
        <w:tc>
          <w:tcPr>
            <w:tcW w:w="5491" w:type="dxa"/>
          </w:tcPr>
          <w:p w14:paraId="240262F4" w14:textId="360BF688" w:rsidR="00DF1E49" w:rsidRDefault="00F76985" w:rsidP="00E82667">
            <w:pPr>
              <w:tabs>
                <w:tab w:val="left" w:pos="426"/>
              </w:tabs>
              <w:spacing w:before="120" w:after="120"/>
              <w:rPr>
                <w:bCs/>
                <w:szCs w:val="24"/>
              </w:rPr>
            </w:pPr>
            <w:sdt>
              <w:sdtPr>
                <w:id w:val="798026953"/>
                <w14:checkbox>
                  <w14:checked w14:val="1"/>
                  <w14:checkedState w14:val="2612" w14:font="MS Gothic"/>
                  <w14:uncheckedState w14:val="2610" w14:font="MS Gothic"/>
                </w14:checkbox>
              </w:sdtPr>
              <w:sdtEndPr/>
              <w:sdtContent>
                <w:r w:rsidR="00265B92">
                  <w:rPr>
                    <w:rFonts w:ascii="MS Gothic" w:eastAsia="MS Gothic" w:hAnsi="MS Gothic" w:hint="eastAsia"/>
                  </w:rPr>
                  <w:t>☒</w:t>
                </w:r>
              </w:sdtContent>
            </w:sdt>
            <w:r w:rsidR="009A28DA">
              <w:t xml:space="preserve"> 2 mois </w:t>
            </w:r>
            <w:r w:rsidR="009A28DA">
              <w:sym w:font="Wingdings" w:char="F0A8"/>
            </w:r>
            <w:r w:rsidR="009A28DA">
              <w:t xml:space="preserve"> 1 mois</w:t>
            </w:r>
          </w:p>
          <w:p w14:paraId="42C9AD79" w14:textId="616A312E" w:rsidR="002C13C3" w:rsidRPr="0007110E" w:rsidRDefault="002C13C3" w:rsidP="00E82667">
            <w:pPr>
              <w:tabs>
                <w:tab w:val="left" w:pos="426"/>
              </w:tabs>
              <w:spacing w:before="120" w:after="120"/>
              <w:rPr>
                <w:bCs/>
              </w:rPr>
            </w:pPr>
            <w:r>
              <w:t xml:space="preserve">Date limite pour postuler: </w:t>
            </w:r>
            <w:sdt>
              <w:sdtPr>
                <w:rPr>
                  <w:bCs/>
                  <w:lang w:val="fr-BE"/>
                </w:rPr>
                <w:id w:val="319154040"/>
                <w:placeholder>
                  <w:docPart w:val="F8087F2A3C014B809064D3423F4C13C9"/>
                </w:placeholder>
                <w:date w:fullDate="2025-06-25T00:00:00Z">
                  <w:dateFormat w:val="dd-MM-yyyy"/>
                  <w:lid w:val="fr-FR"/>
                  <w:storeMappedDataAs w:val="dateTime"/>
                  <w:calendar w:val="gregorian"/>
                </w:date>
              </w:sdtPr>
              <w:sdtEndPr/>
              <w:sdtContent>
                <w:r w:rsidRPr="009A3CCB">
                  <w:rPr>
                    <w:bCs/>
                    <w:lang w:val="fr-BE" w:eastAsia="en-GB"/>
                  </w:rPr>
                  <w:t>2</w:t>
                </w:r>
                <w:r w:rsidR="00F76985">
                  <w:rPr>
                    <w:bCs/>
                    <w:lang w:val="fr-BE" w:eastAsia="en-GB"/>
                  </w:rPr>
                  <w:t>5</w:t>
                </w:r>
                <w:r w:rsidRPr="009A3CCB">
                  <w:rPr>
                    <w:bCs/>
                    <w:lang w:val="fr-BE" w:eastAsia="en-GB"/>
                  </w:rPr>
                  <w:t>-0</w:t>
                </w:r>
                <w:r w:rsidR="0013016B">
                  <w:rPr>
                    <w:bCs/>
                    <w:lang w:val="fr-BE" w:eastAsia="en-GB"/>
                  </w:rPr>
                  <w:t>6</w:t>
                </w:r>
                <w:r w:rsidRPr="009A3CCB">
                  <w:rPr>
                    <w:bCs/>
                    <w:lang w:val="fr-BE" w:eastAsia="en-GB"/>
                  </w:rPr>
                  <w:t>-2025</w:t>
                </w:r>
              </w:sdtContent>
            </w:sdt>
          </w:p>
        </w:tc>
      </w:tr>
      <w:bookmarkEnd w:id="0"/>
      <w:bookmarkEnd w:id="1"/>
    </w:tbl>
    <w:p w14:paraId="4AD59AD4" w14:textId="77777777" w:rsidR="00E21DBD" w:rsidRPr="009A3CCB" w:rsidRDefault="00E21DBD" w:rsidP="00E21DBD">
      <w:pPr>
        <w:tabs>
          <w:tab w:val="left" w:pos="426"/>
        </w:tabs>
        <w:spacing w:after="0"/>
        <w:rPr>
          <w:b/>
          <w:lang w:val="fr-BE" w:eastAsia="en-GB"/>
        </w:rPr>
      </w:pPr>
    </w:p>
    <w:p w14:paraId="7FA18C95" w14:textId="77777777" w:rsidR="00E21DBD" w:rsidRPr="009A3CCB" w:rsidRDefault="00E21DBD" w:rsidP="00E21DBD">
      <w:pPr>
        <w:tabs>
          <w:tab w:val="left" w:pos="426"/>
        </w:tabs>
        <w:spacing w:after="0"/>
        <w:rPr>
          <w:b/>
          <w:lang w:val="fr-BE" w:eastAsia="en-GB"/>
        </w:rPr>
      </w:pPr>
    </w:p>
    <w:p w14:paraId="739B1A99" w14:textId="26B4FBDA" w:rsidR="00E21DBD" w:rsidRDefault="003E50A4" w:rsidP="00994062">
      <w:pPr>
        <w:pStyle w:val="ListNumber"/>
        <w:numPr>
          <w:ilvl w:val="0"/>
          <w:numId w:val="0"/>
        </w:numPr>
        <w:ind w:left="709" w:hanging="709"/>
        <w:rPr>
          <w:b/>
          <w:bCs/>
        </w:rPr>
      </w:pPr>
      <w:bookmarkStart w:id="2" w:name="_Hlk132129090"/>
      <w:r>
        <w:rPr>
          <w:b/>
        </w:rPr>
        <w:t>Présentation de l’entité (nous sommes)</w:t>
      </w:r>
    </w:p>
    <w:p w14:paraId="58AA9B61" w14:textId="77777777" w:rsidR="00854DE2" w:rsidRPr="000A7F2F" w:rsidRDefault="00854DE2" w:rsidP="00854DE2">
      <w:pPr>
        <w:spacing w:after="0"/>
        <w:ind w:right="139"/>
      </w:pPr>
      <w:r>
        <w:t>La direction générale de la mobilité et des transports (DG MOVE) est chargée d’élaborer et de mettre en œuvre les politiques européennes dans le domaine des transports, y compris celles établissant un marché intérieur du transport ferroviaire.</w:t>
      </w:r>
    </w:p>
    <w:p w14:paraId="2417C290" w14:textId="77777777" w:rsidR="00854DE2" w:rsidRPr="009A3CCB" w:rsidRDefault="00854DE2" w:rsidP="00854DE2">
      <w:pPr>
        <w:spacing w:after="0"/>
        <w:ind w:right="1317"/>
        <w:rPr>
          <w:lang w:val="fr-BE" w:eastAsia="en-GB"/>
        </w:rPr>
      </w:pPr>
    </w:p>
    <w:p w14:paraId="3E8FDE7C" w14:textId="77777777" w:rsidR="00854DE2" w:rsidRDefault="00854DE2" w:rsidP="00854DE2">
      <w:pPr>
        <w:spacing w:after="0"/>
        <w:ind w:right="139"/>
      </w:pPr>
      <w:r>
        <w:t xml:space="preserve">Au sein de la DG MOVE, la direction C est chargée du transport terrestre. L’unité C4 est responsable de la politique de sécurité et d’interopérabilité ferroviaires, en vue de la </w:t>
      </w:r>
      <w:r>
        <w:lastRenderedPageBreak/>
        <w:t>réalisation d’un espace ferroviaire unique européen. Les principales tâches de l’unité sont les suivantes:</w:t>
      </w:r>
    </w:p>
    <w:p w14:paraId="30572286" w14:textId="77777777" w:rsidR="00854DE2" w:rsidRPr="009A3CCB" w:rsidRDefault="00854DE2" w:rsidP="00854DE2">
      <w:pPr>
        <w:spacing w:after="0"/>
        <w:ind w:right="139"/>
        <w:rPr>
          <w:lang w:val="fr-BE" w:eastAsia="en-GB"/>
        </w:rPr>
      </w:pPr>
    </w:p>
    <w:p w14:paraId="19D4429A" w14:textId="77777777" w:rsidR="00854DE2" w:rsidRPr="00132006" w:rsidRDefault="00854DE2" w:rsidP="00854DE2">
      <w:pPr>
        <w:spacing w:after="0"/>
        <w:ind w:left="426"/>
      </w:pPr>
      <w:r>
        <w:t>• élaborer des politiques visant à renforcer la sécurité et l’interopérabilité dans le transport ferroviaire, y compris superviser les activités de l’Agence de l’Union européenne pour les chemins de fer (ERA);</w:t>
      </w:r>
    </w:p>
    <w:p w14:paraId="7F0BD234" w14:textId="77777777" w:rsidR="00854DE2" w:rsidRPr="00132006" w:rsidRDefault="00854DE2" w:rsidP="00854DE2">
      <w:pPr>
        <w:spacing w:after="0"/>
        <w:ind w:left="426"/>
      </w:pPr>
      <w:r>
        <w:t>• mettre en œuvre le pilier technique du 4</w:t>
      </w:r>
      <w:r>
        <w:rPr>
          <w:vertAlign w:val="superscript"/>
        </w:rPr>
        <w:t>e</w:t>
      </w:r>
      <w:r>
        <w:t> paquet ferroviaire en ce qui concerne la sécurité et l’interopérabilité et renforcer le rôle de l’ERA;</w:t>
      </w:r>
    </w:p>
    <w:p w14:paraId="038C00F1" w14:textId="77777777" w:rsidR="00854DE2" w:rsidRPr="00132006" w:rsidRDefault="00854DE2" w:rsidP="00854DE2">
      <w:pPr>
        <w:spacing w:after="0"/>
        <w:ind w:left="426"/>
      </w:pPr>
      <w:r>
        <w:t>• promouvoir le développement continu de l’entreprise commune «Système ferroviaire européen» afin de garantir sa contribution à la réalisation des objectifs de la politique ferroviaire de la Commission et des objectifs stratégiques plus larges de celle-ci;</w:t>
      </w:r>
    </w:p>
    <w:p w14:paraId="2D0CCE55" w14:textId="77777777" w:rsidR="00854DE2" w:rsidRPr="00132006" w:rsidRDefault="00854DE2" w:rsidP="00854DE2">
      <w:pPr>
        <w:spacing w:after="0"/>
        <w:ind w:left="426"/>
      </w:pPr>
      <w:r>
        <w:t xml:space="preserve">• suivre l’application de la législation existante de l’UE, et notamment des actes législatifs techniques dans le domaine du transport ferroviaire. </w:t>
      </w:r>
    </w:p>
    <w:p w14:paraId="5F544FDE" w14:textId="77777777" w:rsidR="00854DE2" w:rsidRPr="009A3CCB" w:rsidRDefault="00854DE2" w:rsidP="00854DE2">
      <w:pPr>
        <w:spacing w:after="0"/>
        <w:ind w:left="426"/>
        <w:rPr>
          <w:lang w:val="fr-BE" w:eastAsia="en-GB"/>
        </w:rPr>
      </w:pPr>
    </w:p>
    <w:p w14:paraId="50617C66" w14:textId="3928B21B" w:rsidR="00E21DBD" w:rsidRDefault="00E21DBD" w:rsidP="00994062">
      <w:pPr>
        <w:pStyle w:val="ListNumber"/>
        <w:numPr>
          <w:ilvl w:val="0"/>
          <w:numId w:val="0"/>
        </w:numPr>
        <w:ind w:left="709" w:hanging="709"/>
        <w:rPr>
          <w:b/>
          <w:bCs/>
        </w:rPr>
      </w:pPr>
      <w:r>
        <w:rPr>
          <w:b/>
        </w:rPr>
        <w:t>Présentation du poste (nous proposons)</w:t>
      </w:r>
    </w:p>
    <w:p w14:paraId="17796B97" w14:textId="0305588F" w:rsidR="00854DE2" w:rsidRPr="00816CF1" w:rsidRDefault="00854DE2" w:rsidP="00854DE2">
      <w:pPr>
        <w:spacing w:after="0"/>
        <w:rPr>
          <w:szCs w:val="24"/>
        </w:rPr>
      </w:pPr>
      <w:r>
        <w:t>L’expert(e) national(e) détaché(e) (END) participera activement aux tâches de l’unité, à savoir concevoir, développer, mettre en œuvre et suivre les politiques européennes et les activités connexes dans le domaine de la sécurité et de l’interopérabilité ferroviaires.  En particulier, il/elle aidera:</w:t>
      </w:r>
    </w:p>
    <w:p w14:paraId="3C788F83" w14:textId="77777777" w:rsidR="00854DE2" w:rsidRPr="00132006" w:rsidRDefault="00854DE2" w:rsidP="00854DE2">
      <w:pPr>
        <w:spacing w:after="0"/>
        <w:ind w:right="1317"/>
        <w:rPr>
          <w:lang w:eastAsia="en-GB"/>
        </w:rPr>
      </w:pPr>
    </w:p>
    <w:p w14:paraId="7826576C" w14:textId="16544879" w:rsidR="00854DE2" w:rsidRPr="00132006" w:rsidRDefault="00854DE2" w:rsidP="00854DE2">
      <w:pPr>
        <w:spacing w:after="0"/>
        <w:ind w:left="426" w:right="-29"/>
      </w:pPr>
      <w:r>
        <w:t>• à élaborer des politiques relatives à la mise en œuvre et au suivi des technologies liées aux véhicules, telles que l’attelage automatique numérique (DAC);</w:t>
      </w:r>
    </w:p>
    <w:p w14:paraId="71F4CB55" w14:textId="3DD0DFD0" w:rsidR="00854DE2" w:rsidRPr="00132006" w:rsidRDefault="00854DE2" w:rsidP="00854DE2">
      <w:pPr>
        <w:spacing w:after="0"/>
        <w:ind w:left="426" w:right="113"/>
      </w:pPr>
      <w:r>
        <w:t>• à coordonner le processus d’élaboration, de révision et d’adoption des règlements relatifs au matériel roulant, à savoir les règlements (UE) nº 321/2013 (STI WAG), (UE) nº 1302/2014 (STI LOC&amp;PAS) et (UE) nº 1304/2014 (STI «bruit»), ainsi que le règlement d’exécution (UE) 2018/545, y compris les relations avec l’ERA dans le domaine de l’autorisation des véhicules;</w:t>
      </w:r>
    </w:p>
    <w:p w14:paraId="6D5C0571" w14:textId="73008F67" w:rsidR="00854DE2" w:rsidRPr="00132006" w:rsidRDefault="00854DE2" w:rsidP="00854DE2">
      <w:pPr>
        <w:spacing w:after="0"/>
        <w:ind w:left="426" w:right="113"/>
      </w:pPr>
      <w:r>
        <w:t>• à contribuer aux activités liées aux véhicules dans le cadre de la politique RTE</w:t>
      </w:r>
      <w:r w:rsidR="009A3CCB">
        <w:noBreakHyphen/>
      </w:r>
      <w:r>
        <w:t>T/MIE, y compris les relations avec l’Agence exécutive pour l'innovation et les réseaux (</w:t>
      </w:r>
      <w:r w:rsidR="001014BC">
        <w:t>C</w:t>
      </w:r>
      <w:r>
        <w:t>INEA);</w:t>
      </w:r>
    </w:p>
    <w:p w14:paraId="7E49BBFB" w14:textId="66156923" w:rsidR="00854DE2" w:rsidRDefault="00854DE2" w:rsidP="00854DE2">
      <w:pPr>
        <w:spacing w:after="0"/>
        <w:ind w:left="426"/>
      </w:pPr>
      <w:r>
        <w:t>• à assurer le suivi des activités liées aux véhicules de l’entreprise commune «Système ferroviaire européen», de la DG ENV et de la DG CNECT;</w:t>
      </w:r>
    </w:p>
    <w:p w14:paraId="7985B191" w14:textId="3C378998" w:rsidR="000F34C4" w:rsidRDefault="000F34C4" w:rsidP="000F34C4">
      <w:pPr>
        <w:spacing w:after="0"/>
        <w:ind w:left="426" w:right="113"/>
      </w:pPr>
      <w:r>
        <w:t>• à soutenir l’interface matériel roulant, exploitation, contrôle-commande et signalisation aux fins de l’objectif d’harmonisation opérationnelle et d’achèvement de l’espace ferroviaire unique européen.</w:t>
      </w:r>
    </w:p>
    <w:p w14:paraId="62C720D7" w14:textId="174B081A" w:rsidR="008C179E" w:rsidRDefault="008C179E" w:rsidP="008C179E">
      <w:pPr>
        <w:spacing w:after="0"/>
        <w:ind w:left="426" w:right="113"/>
      </w:pPr>
      <w:r>
        <w:t>• pour d’autres dossiers législatifs relatifs à la sécurité et à l’interopérabilité ferroviaires attribués par la direction de l’unité.</w:t>
      </w:r>
    </w:p>
    <w:p w14:paraId="6DD57CEA" w14:textId="77777777" w:rsidR="008C179E" w:rsidRPr="00132006" w:rsidRDefault="008C179E" w:rsidP="000F34C4">
      <w:pPr>
        <w:spacing w:after="0"/>
        <w:ind w:left="426" w:right="113"/>
        <w:rPr>
          <w:lang w:eastAsia="en-GB"/>
        </w:rPr>
      </w:pPr>
    </w:p>
    <w:p w14:paraId="374EBD03" w14:textId="77777777" w:rsidR="000F34C4" w:rsidRDefault="000F34C4" w:rsidP="00854DE2">
      <w:pPr>
        <w:spacing w:after="0"/>
        <w:ind w:left="426"/>
        <w:rPr>
          <w:lang w:eastAsia="en-GB"/>
        </w:rPr>
      </w:pPr>
    </w:p>
    <w:p w14:paraId="58E0FD96" w14:textId="2D5F7C92" w:rsidR="00E21DBD" w:rsidRPr="00012665" w:rsidRDefault="00E21DBD" w:rsidP="00994062">
      <w:pPr>
        <w:pStyle w:val="ListNumber"/>
        <w:numPr>
          <w:ilvl w:val="0"/>
          <w:numId w:val="0"/>
        </w:numPr>
        <w:ind w:left="709" w:hanging="709"/>
      </w:pPr>
      <w:r>
        <w:rPr>
          <w:b/>
        </w:rPr>
        <w:t>Profil du/de la titulaire (nous recherchons)</w:t>
      </w:r>
    </w:p>
    <w:sdt>
      <w:sdtPr>
        <w:id w:val="-209197804"/>
        <w:placeholder>
          <w:docPart w:val="D53C757808094631B3D30FCCF370CC97"/>
        </w:placeholder>
      </w:sdtPr>
      <w:sdtEndPr/>
      <w:sdtContent>
        <w:sdt>
          <w:sdtPr>
            <w:id w:val="-1576208794"/>
            <w:placeholder>
              <w:docPart w:val="67D8A6807BD9458CAC1D0A78745D623E"/>
            </w:placeholder>
          </w:sdtPr>
          <w:sdtEndPr/>
          <w:sdtContent>
            <w:p w14:paraId="6FD79529" w14:textId="6E2D691D" w:rsidR="001734DD" w:rsidRDefault="00744F04" w:rsidP="003001C9">
              <w:pPr>
                <w:spacing w:after="0"/>
                <w:ind w:left="426"/>
              </w:pPr>
              <w:r>
                <w:t>La DG MOVE C.4 recherche un(e) END dynamique, très motivé(e) et expérimenté(e) possédant des connaissances et de l’expérience en matière de politique ferroviaire. Une connaissance de la politique de l’UE en matière de sécurité et d’interopérabilité ferroviaires constituerait un avantage.</w:t>
              </w:r>
            </w:p>
            <w:p w14:paraId="27F6A993" w14:textId="77777777" w:rsidR="001734DD" w:rsidRDefault="001734DD" w:rsidP="001734DD">
              <w:pPr>
                <w:spacing w:after="0"/>
                <w:ind w:left="426"/>
              </w:pPr>
            </w:p>
            <w:p w14:paraId="69B4506B" w14:textId="0588A05D" w:rsidR="001734DD" w:rsidRDefault="001734DD" w:rsidP="001734DD">
              <w:pPr>
                <w:spacing w:after="0"/>
                <w:ind w:left="426"/>
              </w:pPr>
              <w:r>
                <w:t xml:space="preserve">Le/la candidat(e) devra assumer la responsabilité de ses tâches, être bien organisé(e), serviable et agir avec un sens de l’initiative et une attitude orientée vers la résolution de problèmes. Il/elle devra aussi satisfaire aux normes de qualité de la DG MOVE, respecter les procédures de l’unité et posséder les compétences nécessaires pour traiter </w:t>
              </w:r>
              <w:r>
                <w:lastRenderedPageBreak/>
                <w:t>des plaintes et des infractions. Il/elle devra posséder de solides compétences analytiques et d’excellentes compétences rédactionnelles, ainsi que de l’expérience dans la rédaction de documents d’orientation. Il/elle devra faire preuve d’initiative et posséder les compétences sociales nécessaires pour travailler efficacement au sein de l’équipe existante, ainsi qu’une bonne compréhension des priorités et des questions de fond.</w:t>
              </w:r>
            </w:p>
            <w:p w14:paraId="51994EDB" w14:textId="7E22931B" w:rsidR="002E40A9" w:rsidRPr="00AF7D78" w:rsidRDefault="00F76985"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127D1D90" w:rsidR="00E21DBD" w:rsidRPr="00F67B35" w:rsidRDefault="00E21DBD" w:rsidP="00252050">
      <w:pPr>
        <w:keepNext/>
        <w:rPr>
          <w:szCs w:val="24"/>
        </w:rPr>
      </w:pPr>
      <w:r>
        <w:t xml:space="preserve">Le détachement sera régi par la </w:t>
      </w:r>
      <w:r>
        <w:rPr>
          <w:b/>
        </w:rPr>
        <w:t>décision C(2008) 6866 de la Commission</w:t>
      </w:r>
      <w:r>
        <w:t xml:space="preserve"> du 12.11.2008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w:t>
      </w:r>
      <w:r>
        <w:rPr>
          <w:b/>
        </w:rPr>
        <w:t>à la date de début</w:t>
      </w:r>
      <w:r>
        <w:t xml:space="preserve"> du détachement:</w:t>
      </w:r>
    </w:p>
    <w:p w14:paraId="2A82F38A" w14:textId="64AD57F5" w:rsidR="00E21DBD" w:rsidRPr="00902D72" w:rsidRDefault="00E21DBD" w:rsidP="00B73F08">
      <w:pPr>
        <w:pStyle w:val="ListBullet"/>
      </w:pPr>
      <w:r>
        <w:rPr>
          <w:u w:val="single"/>
        </w:rPr>
        <w:t>Expérience professionnelle:</w:t>
      </w:r>
      <w:r>
        <w:t xml:space="preserve"> posséder une expérience professionnelle d’au moins trois</w:t>
      </w:r>
      <w:r w:rsidR="009A3CCB">
        <w:t> </w:t>
      </w:r>
      <w:r>
        <w:t>ans dans l’exercice de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r>
        <w:rPr>
          <w:u w:val="single"/>
        </w:rPr>
        <w:t>Ancienneté:</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nationale, régionale ou locale, ou par une organisation publique intergouvernementale (OIG); exceptionnellement et après dérogation spécifique, la Commission peut accepter des candidatures de personnes dont l’employeur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que vous serez appelé(e) à exercer. Si vous venez d’un pays tiers, vous devrez démontrer que vous possédez une connaissance approfondie de la langue de l’Union européenne nécessaire à l’accomplissement des tâches qui vous seront confiées.</w:t>
      </w: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employé(e) et rémunéré(e) par votre employeur et être couvert(e)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lastRenderedPageBreak/>
        <w:t xml:space="preserve">Le personnel en poste dans une délégation de l’Union européenne doit obligatoirement disposer d’une habilitation de sécurité [jusqu’au niveau SECRET UE/EU SECRET conformément à la </w:t>
      </w:r>
      <w:hyperlink r:id="rId15" w:history="1">
        <w:r>
          <w:rPr>
            <w:rStyle w:val="Hyperlink"/>
          </w:rPr>
          <w:t>décision (UE, Euratom) 2015/444 de la Commission du 13 mars 2015</w:t>
        </w:r>
      </w:hyperlink>
      <w:r>
        <w:t>].  Il vous appartient de lancer cette procédure d’habilitation de sécurité avant d’obtenir la confirmation de votre détachement.</w:t>
      </w: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w:t>
      </w:r>
      <w:r>
        <w:rPr>
          <w:b/>
          <w:bCs/>
        </w:rPr>
        <w:t>format CV Europass</w:t>
      </w:r>
      <w:r>
        <w:t xml:space="preserve"> (</w:t>
      </w:r>
      <w:hyperlink r:id="rId16" w:history="1">
        <w:hyperlink r:id="rId17" w:history="1">
          <w:r>
            <w:t>Créez votre CV Europass | Europass</w:t>
          </w:r>
        </w:hyperlink>
      </w:hyperlink>
      <w:r>
        <w:t>) en français, anglais ou allemand. Votre CV doit obligatoirement mentionner votre nationalité.</w:t>
      </w:r>
    </w:p>
    <w:p w14:paraId="5D1B7045" w14:textId="53BEFD6E" w:rsidR="00E21DBD" w:rsidRPr="00F67B35" w:rsidRDefault="00665583" w:rsidP="009A2F00">
      <w:r>
        <w:t>Veuillez ne pas joindre d’autres documents (tels que copie de carte d’identité, copie des diplômes ou attestation d’expérience professionnelle, etc.). Au besoin, ces documents vous seront demandés à un stade ultérieur de la procédure de sélection.</w:t>
      </w: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24648E85" w:rsidR="00D83EA7" w:rsidRDefault="00C75BA4" w:rsidP="007F02AC">
      <w:pPr>
        <w:keepNext/>
      </w:pPr>
      <w:r>
        <w:t>La Commission européenne veillera à ce que les données à caractère personnel des candidat(e)s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2C7F22BE" w14:textId="11779673" w:rsidR="00F93413" w:rsidRDefault="00F93413" w:rsidP="00AD0BBA">
      <w:pPr>
        <w:spacing w:after="0"/>
        <w:jc w:val="left"/>
      </w:pPr>
    </w:p>
    <w:sectPr w:rsidR="00F93413">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B9FA7" w14:textId="77777777" w:rsidR="00C90174" w:rsidRDefault="00C90174">
      <w:pPr>
        <w:spacing w:after="0"/>
      </w:pPr>
      <w:r>
        <w:separator/>
      </w:r>
    </w:p>
  </w:endnote>
  <w:endnote w:type="continuationSeparator" w:id="0">
    <w:p w14:paraId="5E80918E" w14:textId="77777777" w:rsidR="00C90174" w:rsidRDefault="00C901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4D3E3" w14:textId="77777777" w:rsidR="00C90174" w:rsidRDefault="00C90174">
      <w:pPr>
        <w:spacing w:after="0"/>
      </w:pPr>
      <w:r>
        <w:separator/>
      </w:r>
    </w:p>
  </w:footnote>
  <w:footnote w:type="continuationSeparator" w:id="0">
    <w:p w14:paraId="59AFFFB1" w14:textId="77777777" w:rsidR="00C90174" w:rsidRDefault="00C90174">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7E23"/>
    <w:rsid w:val="00092BCA"/>
    <w:rsid w:val="000A4668"/>
    <w:rsid w:val="000B13B7"/>
    <w:rsid w:val="000D129C"/>
    <w:rsid w:val="000F34C4"/>
    <w:rsid w:val="000F371B"/>
    <w:rsid w:val="000F4CD5"/>
    <w:rsid w:val="001014BC"/>
    <w:rsid w:val="00111099"/>
    <w:rsid w:val="00111AB6"/>
    <w:rsid w:val="0013016B"/>
    <w:rsid w:val="00144379"/>
    <w:rsid w:val="00155351"/>
    <w:rsid w:val="001734DD"/>
    <w:rsid w:val="001D0A81"/>
    <w:rsid w:val="002109E6"/>
    <w:rsid w:val="00213AA1"/>
    <w:rsid w:val="00252050"/>
    <w:rsid w:val="00265B92"/>
    <w:rsid w:val="002748BE"/>
    <w:rsid w:val="00291BF3"/>
    <w:rsid w:val="002936DA"/>
    <w:rsid w:val="002B3CBF"/>
    <w:rsid w:val="002C13C3"/>
    <w:rsid w:val="002C49D0"/>
    <w:rsid w:val="002E40A9"/>
    <w:rsid w:val="003001C9"/>
    <w:rsid w:val="00320E48"/>
    <w:rsid w:val="00394447"/>
    <w:rsid w:val="003E3E7E"/>
    <w:rsid w:val="003E50A4"/>
    <w:rsid w:val="0040388A"/>
    <w:rsid w:val="00431778"/>
    <w:rsid w:val="00431B77"/>
    <w:rsid w:val="00454CC7"/>
    <w:rsid w:val="00464195"/>
    <w:rsid w:val="00476034"/>
    <w:rsid w:val="005124FE"/>
    <w:rsid w:val="005168AD"/>
    <w:rsid w:val="00537FA7"/>
    <w:rsid w:val="00541D4D"/>
    <w:rsid w:val="00551FAE"/>
    <w:rsid w:val="00582064"/>
    <w:rsid w:val="0058240F"/>
    <w:rsid w:val="00592CD5"/>
    <w:rsid w:val="005B361A"/>
    <w:rsid w:val="005B5F68"/>
    <w:rsid w:val="005D1B85"/>
    <w:rsid w:val="005E7315"/>
    <w:rsid w:val="00600F65"/>
    <w:rsid w:val="0060556E"/>
    <w:rsid w:val="0060667F"/>
    <w:rsid w:val="00657EE5"/>
    <w:rsid w:val="00665583"/>
    <w:rsid w:val="006873EC"/>
    <w:rsid w:val="00693BC6"/>
    <w:rsid w:val="00696070"/>
    <w:rsid w:val="006E7A0B"/>
    <w:rsid w:val="006F6915"/>
    <w:rsid w:val="00737C2D"/>
    <w:rsid w:val="00744F04"/>
    <w:rsid w:val="0077475B"/>
    <w:rsid w:val="007A5F30"/>
    <w:rsid w:val="007E531E"/>
    <w:rsid w:val="007F02AC"/>
    <w:rsid w:val="007F7012"/>
    <w:rsid w:val="00816CF1"/>
    <w:rsid w:val="008302EC"/>
    <w:rsid w:val="00854DE2"/>
    <w:rsid w:val="0087469E"/>
    <w:rsid w:val="00875E4A"/>
    <w:rsid w:val="008B3F8F"/>
    <w:rsid w:val="008C179E"/>
    <w:rsid w:val="008D02B7"/>
    <w:rsid w:val="008F0B52"/>
    <w:rsid w:val="008F1E74"/>
    <w:rsid w:val="008F4BA9"/>
    <w:rsid w:val="00917486"/>
    <w:rsid w:val="0095545B"/>
    <w:rsid w:val="00992300"/>
    <w:rsid w:val="00994062"/>
    <w:rsid w:val="00996CC6"/>
    <w:rsid w:val="009A1EA0"/>
    <w:rsid w:val="009A28DA"/>
    <w:rsid w:val="009A2F00"/>
    <w:rsid w:val="009A3CCB"/>
    <w:rsid w:val="009B19C8"/>
    <w:rsid w:val="009C5E27"/>
    <w:rsid w:val="00A033AD"/>
    <w:rsid w:val="00A72D7F"/>
    <w:rsid w:val="00A7370A"/>
    <w:rsid w:val="00A963E4"/>
    <w:rsid w:val="00AA0E9F"/>
    <w:rsid w:val="00AB2CEA"/>
    <w:rsid w:val="00AC03CB"/>
    <w:rsid w:val="00AD0BBA"/>
    <w:rsid w:val="00AF6424"/>
    <w:rsid w:val="00B06DC4"/>
    <w:rsid w:val="00B24CC5"/>
    <w:rsid w:val="00B3644B"/>
    <w:rsid w:val="00B65513"/>
    <w:rsid w:val="00B73F08"/>
    <w:rsid w:val="00B8014C"/>
    <w:rsid w:val="00B831A0"/>
    <w:rsid w:val="00B96284"/>
    <w:rsid w:val="00C06724"/>
    <w:rsid w:val="00C3254D"/>
    <w:rsid w:val="00C504C7"/>
    <w:rsid w:val="00C6756C"/>
    <w:rsid w:val="00C679EF"/>
    <w:rsid w:val="00C72CFB"/>
    <w:rsid w:val="00C75BA4"/>
    <w:rsid w:val="00C90174"/>
    <w:rsid w:val="00CB5B61"/>
    <w:rsid w:val="00CD2C5A"/>
    <w:rsid w:val="00CD345D"/>
    <w:rsid w:val="00CE314C"/>
    <w:rsid w:val="00D0015C"/>
    <w:rsid w:val="00D03CF4"/>
    <w:rsid w:val="00D257F0"/>
    <w:rsid w:val="00D33E34"/>
    <w:rsid w:val="00D54D76"/>
    <w:rsid w:val="00D674A8"/>
    <w:rsid w:val="00D7090C"/>
    <w:rsid w:val="00D7258A"/>
    <w:rsid w:val="00D83EA7"/>
    <w:rsid w:val="00D84D53"/>
    <w:rsid w:val="00D858C3"/>
    <w:rsid w:val="00D96984"/>
    <w:rsid w:val="00DD41ED"/>
    <w:rsid w:val="00DF1E49"/>
    <w:rsid w:val="00DF6DCB"/>
    <w:rsid w:val="00E21AB4"/>
    <w:rsid w:val="00E21DBD"/>
    <w:rsid w:val="00E33FC4"/>
    <w:rsid w:val="00E342CB"/>
    <w:rsid w:val="00E41704"/>
    <w:rsid w:val="00E44D7F"/>
    <w:rsid w:val="00E82667"/>
    <w:rsid w:val="00E84FE8"/>
    <w:rsid w:val="00EB3147"/>
    <w:rsid w:val="00EC3704"/>
    <w:rsid w:val="00F4683D"/>
    <w:rsid w:val="00F603EA"/>
    <w:rsid w:val="00F6462F"/>
    <w:rsid w:val="00F76985"/>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Pr>
              <w:rStyle w:val="PlaceholderText"/>
            </w:rPr>
            <w:t>Click or tap to enter a date.</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7E23"/>
    <w:rsid w:val="00155351"/>
    <w:rsid w:val="001E3B1B"/>
    <w:rsid w:val="002748BE"/>
    <w:rsid w:val="00416B25"/>
    <w:rsid w:val="006212B2"/>
    <w:rsid w:val="00657EE5"/>
    <w:rsid w:val="006F0611"/>
    <w:rsid w:val="00713C3D"/>
    <w:rsid w:val="007A5F30"/>
    <w:rsid w:val="007F7378"/>
    <w:rsid w:val="008302EC"/>
    <w:rsid w:val="00893390"/>
    <w:rsid w:val="00894A0C"/>
    <w:rsid w:val="008F1E74"/>
    <w:rsid w:val="00990325"/>
    <w:rsid w:val="00992300"/>
    <w:rsid w:val="009A12CB"/>
    <w:rsid w:val="00AA0E9F"/>
    <w:rsid w:val="00B831A0"/>
    <w:rsid w:val="00C6756C"/>
    <w:rsid w:val="00C679EF"/>
    <w:rsid w:val="00CA527C"/>
    <w:rsid w:val="00D374C1"/>
    <w:rsid w:val="00D42274"/>
    <w:rsid w:val="00D674A8"/>
    <w:rsid w:val="00D858C3"/>
    <w:rsid w:val="00DF6D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3C3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5.xml><?xml version="1.0" encoding="utf-8"?>
<ds:datastoreItem xmlns:ds="http://schemas.openxmlformats.org/officeDocument/2006/customXml" ds:itemID="{14807050-281B-4360-B199-50899B48D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1368</Words>
  <Characters>7799</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2025-04-01T14:20:00Z</dcterms:created>
  <dcterms:modified xsi:type="dcterms:W3CDTF">2025-04-14T09:08:00Z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