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F7D2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F7D2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F7D2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F7D2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F7D2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F7D2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7328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61778F8" w:rsidR="00377580" w:rsidRPr="00080A71" w:rsidRDefault="00773281" w:rsidP="005F6927">
                <w:pPr>
                  <w:tabs>
                    <w:tab w:val="left" w:pos="426"/>
                  </w:tabs>
                  <w:rPr>
                    <w:bCs/>
                    <w:lang w:val="en-IE" w:eastAsia="en-GB"/>
                  </w:rPr>
                </w:pPr>
                <w:r>
                  <w:rPr>
                    <w:bCs/>
                    <w:lang w:val="fr-BE" w:eastAsia="en-GB"/>
                  </w:rPr>
                  <w:t>SANTE-C-1</w:t>
                </w:r>
              </w:p>
            </w:tc>
          </w:sdtContent>
        </w:sdt>
      </w:tr>
      <w:tr w:rsidR="00377580" w:rsidRPr="0077328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596181687"/>
                <w:placeholder>
                  <w:docPart w:val="65FFD3B9ED13406699B025FF49844EE2"/>
                </w:placeholder>
              </w:sdtPr>
              <w:sdtEndPr>
                <w:rPr>
                  <w:lang w:val="en-IE"/>
                </w:rPr>
              </w:sdtEndPr>
              <w:sdtContent>
                <w:tc>
                  <w:tcPr>
                    <w:tcW w:w="5491" w:type="dxa"/>
                  </w:tcPr>
                  <w:p w14:paraId="51C87C16" w14:textId="281833CA" w:rsidR="00377580" w:rsidRPr="00080A71" w:rsidRDefault="00773281" w:rsidP="005F6927">
                    <w:pPr>
                      <w:tabs>
                        <w:tab w:val="left" w:pos="426"/>
                      </w:tabs>
                      <w:rPr>
                        <w:bCs/>
                        <w:lang w:val="en-IE" w:eastAsia="en-GB"/>
                      </w:rPr>
                    </w:pPr>
                    <w:r>
                      <w:rPr>
                        <w:bCs/>
                        <w:lang w:val="en-IE" w:eastAsia="en-GB"/>
                      </w:rPr>
                      <w:t>350803</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821384871"/>
                  <w:placeholder>
                    <w:docPart w:val="B983C7C7DBA54FB6A11622460D49E396"/>
                  </w:placeholder>
                </w:sdtPr>
                <w:sdtEndPr/>
                <w:sdtContent>
                  <w:p w14:paraId="369CA7C8" w14:textId="2AFD638A" w:rsidR="00377580" w:rsidRPr="00B11430" w:rsidRDefault="00773281" w:rsidP="00773281">
                    <w:pPr>
                      <w:tabs>
                        <w:tab w:val="left" w:pos="426"/>
                      </w:tabs>
                      <w:spacing w:before="120"/>
                      <w:rPr>
                        <w:bCs/>
                        <w:lang w:val="fr-BE" w:eastAsia="en-GB"/>
                      </w:rPr>
                    </w:pPr>
                    <w:r w:rsidRPr="00B11430">
                      <w:rPr>
                        <w:bCs/>
                        <w:lang w:val="fr-BE" w:eastAsia="en-GB"/>
                      </w:rPr>
                      <w:t>RAFFAELLI Fulvia</w:t>
                    </w:r>
                  </w:p>
                </w:sdtContent>
              </w:sdt>
            </w:sdtContent>
          </w:sdt>
          <w:p w14:paraId="32DD8032" w14:textId="27B35193" w:rsidR="00377580" w:rsidRPr="001D3EEC" w:rsidRDefault="001F7D2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73281">
                  <w:rPr>
                    <w:bCs/>
                    <w:lang w:val="fr-BE" w:eastAsia="en-GB"/>
                  </w:rPr>
                  <w:t>Première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773281" w:rsidRPr="00773281">
                      <w:rPr>
                        <w:bCs/>
                        <w:lang w:val="fr-BE" w:eastAsia="en-GB"/>
                      </w:rPr>
                      <w:t>2026</w:t>
                    </w:r>
                  </w:sdtContent>
                </w:sdt>
              </w:sdtContent>
            </w:sdt>
            <w:r w:rsidR="00377580" w:rsidRPr="001D3EEC">
              <w:rPr>
                <w:bCs/>
                <w:lang w:val="fr-BE" w:eastAsia="en-GB"/>
              </w:rPr>
              <w:t xml:space="preserve"> </w:t>
            </w:r>
          </w:p>
          <w:p w14:paraId="768BBE26" w14:textId="191F276C" w:rsidR="00377580" w:rsidRPr="001D3EEC" w:rsidRDefault="001F7D2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7328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7328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0B0A94A"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0BA40D0"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F7D2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F7D2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F7D2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E924BE9"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C4551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AA78041"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2535A125"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1F7D25">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EEDBEC9" w14:textId="2E977F37" w:rsidR="00773281" w:rsidRPr="00240855" w:rsidRDefault="00773281" w:rsidP="00773281">
          <w:pPr>
            <w:rPr>
              <w:lang w:val="fr-BE"/>
            </w:rPr>
          </w:pPr>
          <w:r w:rsidRPr="00240855">
            <w:rPr>
              <w:lang w:val="fr-BE"/>
            </w:rPr>
            <w:t xml:space="preserve">La direction générale de la santé et de la sécurité alimentaire (DG SANTE) vise à assurer aux Européens la </w:t>
          </w:r>
          <w:r w:rsidR="000C1CA8">
            <w:rPr>
              <w:lang w:val="fr-BE"/>
            </w:rPr>
            <w:t>tranquilité</w:t>
          </w:r>
          <w:r w:rsidR="000C1CA8" w:rsidRPr="00240855">
            <w:rPr>
              <w:lang w:val="fr-BE"/>
            </w:rPr>
            <w:t xml:space="preserve"> </w:t>
          </w:r>
          <w:r w:rsidRPr="00240855">
            <w:rPr>
              <w:lang w:val="fr-BE"/>
            </w:rPr>
            <w:t xml:space="preserve">d’esprit qui passe par l’accès aux soins de santé, la sécurité alimentaire et la protection contre les épidémies et les maladies. Notre objectif est de construire et de maintenir les normes élevées de l’Europe en matière de sécurité des denrées alimentaires et des aliments pour animaux, de durabilité alimentaire, de santé </w:t>
          </w:r>
          <w:r w:rsidRPr="00240855">
            <w:rPr>
              <w:lang w:val="fr-BE"/>
            </w:rPr>
            <w:lastRenderedPageBreak/>
            <w:t xml:space="preserve">animale et végétale, ainsi que les systèmes de santé les plus abordables, accessibles et de qualité pour répondre à ces attentes. </w:t>
          </w:r>
        </w:p>
        <w:p w14:paraId="18140A21" w14:textId="7F861D02" w:rsidR="001A0074" w:rsidRPr="00773281" w:rsidRDefault="00773281" w:rsidP="001A0074">
          <w:pPr>
            <w:rPr>
              <w:lang w:val="fr-BE"/>
            </w:rPr>
          </w:pPr>
          <w:r w:rsidRPr="00240855">
            <w:rPr>
              <w:lang w:val="fr-BE"/>
            </w:rPr>
            <w:t>L’unité «Santé numérique», SANTE.C1, œuvre sur les données, les infrastructures numériques et les politiques de protection des données dans le domaine des soins de santé, promeut les outils de santé numériques et le marché unique numérique. En particulier, l’unité dirige le projet ambitieux de construction d’un espace européen des données de santé (EHDS)</w:t>
          </w:r>
          <w:r w:rsidR="005D10A1" w:rsidRPr="005D10A1">
            <w:rPr>
              <w:lang w:val="fr-BE"/>
            </w:rPr>
            <w:t xml:space="preserve"> (</w:t>
          </w:r>
          <w:r w:rsidR="005D10A1">
            <w:rPr>
              <w:rStyle w:val="FootnoteReference"/>
              <w:lang w:val="en-IE"/>
            </w:rPr>
            <w:footnoteReference w:id="1"/>
          </w:r>
          <w:r w:rsidR="005D10A1" w:rsidRPr="005D10A1">
            <w:rPr>
              <w:lang w:val="fr-BE"/>
            </w:rPr>
            <w:t>)</w:t>
          </w:r>
          <w:r w:rsidRPr="00240855">
            <w:rPr>
              <w:lang w:val="fr-BE"/>
            </w:rPr>
            <w:t xml:space="preserve">. L’EHDS contribuera à la transformation numérique de la santé et des soins au niveau de l’UE et rendra les systèmes de soins de santé de l’UE prêts pour l’avenir numérique. En tant qu’élément constitutif d’une union européenne de la santé forte, l’EHDS soutiendra la mise en œuvre d’initiatives telles que le plan européen pour vaincre le cancer et la stratégie pharmaceutique, et accélérera les progrès vers les résultats et les objectifs souhaités en matière de santé, dans l’intérêt de tous les citoyens et de tous les patients. </w:t>
          </w:r>
        </w:p>
      </w:sdtContent>
    </w:sdt>
    <w:p w14:paraId="30B422AA" w14:textId="77777777" w:rsidR="00301CA3" w:rsidRPr="000C1CA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46F624D6" w:rsidR="001A0074" w:rsidRPr="00773281" w:rsidRDefault="00773281" w:rsidP="001A0074">
          <w:pPr>
            <w:rPr>
              <w:lang w:val="fr-BE"/>
            </w:rPr>
          </w:pPr>
          <w:r w:rsidRPr="00240855">
            <w:rPr>
              <w:lang w:val="fr-BE"/>
            </w:rPr>
            <w:t xml:space="preserve">Nous proposons un poste unique pour un </w:t>
          </w:r>
          <w:r w:rsidRPr="00B11430">
            <w:rPr>
              <w:b/>
              <w:bCs/>
              <w:lang w:val="fr-BE"/>
            </w:rPr>
            <w:t>chargé de mission</w:t>
          </w:r>
          <w:r w:rsidRPr="00240855">
            <w:rPr>
              <w:lang w:val="fr-BE"/>
            </w:rPr>
            <w:t xml:space="preserve"> qui aura </w:t>
          </w:r>
          <w:r w:rsidR="005058DF">
            <w:rPr>
              <w:lang w:val="fr-BE"/>
            </w:rPr>
            <w:t>l’opportunité</w:t>
          </w:r>
          <w:r w:rsidRPr="00240855">
            <w:rPr>
              <w:lang w:val="fr-BE"/>
            </w:rPr>
            <w:t xml:space="preserve"> de travailler sur l’une des évolutions les plus dynamiques et les plus passionnantes dans le domaine de la santé: la création d’un espace européen des données de santé (EHDS). </w:t>
          </w:r>
          <w:r w:rsidR="005058DF">
            <w:rPr>
              <w:lang w:val="fr-BE"/>
            </w:rPr>
            <w:t>S</w:t>
          </w:r>
          <w:r w:rsidRPr="00240855">
            <w:rPr>
              <w:lang w:val="fr-BE"/>
            </w:rPr>
            <w:t xml:space="preserve">uite </w:t>
          </w:r>
          <w:r w:rsidR="005058DF">
            <w:rPr>
              <w:lang w:val="fr-BE"/>
            </w:rPr>
            <w:t>à</w:t>
          </w:r>
          <w:r w:rsidR="005058DF" w:rsidRPr="00240855">
            <w:rPr>
              <w:lang w:val="fr-BE"/>
            </w:rPr>
            <w:t xml:space="preserve"> </w:t>
          </w:r>
          <w:r w:rsidRPr="00240855">
            <w:rPr>
              <w:lang w:val="fr-BE"/>
            </w:rPr>
            <w:t>l’adoption du règlement relatif à l’espace européen des données de santé</w:t>
          </w:r>
          <w:r w:rsidR="005058DF">
            <w:rPr>
              <w:lang w:val="fr-BE"/>
            </w:rPr>
            <w:t xml:space="preserve"> </w:t>
          </w:r>
          <w:r w:rsidR="005058DF" w:rsidRPr="005058DF">
            <w:rPr>
              <w:lang w:val="fr-BE"/>
            </w:rPr>
            <w:t>(</w:t>
          </w:r>
          <w:r w:rsidR="005058DF">
            <w:rPr>
              <w:rStyle w:val="FootnoteReference"/>
              <w:lang w:val="en-IE"/>
            </w:rPr>
            <w:footnoteReference w:id="2"/>
          </w:r>
          <w:r w:rsidR="005058DF" w:rsidRPr="005058DF">
            <w:rPr>
              <w:lang w:val="fr-BE"/>
            </w:rPr>
            <w:t>)</w:t>
          </w:r>
          <w:r w:rsidRPr="00240855">
            <w:rPr>
              <w:lang w:val="fr-BE"/>
            </w:rPr>
            <w:t xml:space="preserve">, le candidat retenu contribuera à la mise en œuvre de cette initiative très </w:t>
          </w:r>
          <w:r w:rsidR="005058DF">
            <w:rPr>
              <w:lang w:val="fr-BE"/>
            </w:rPr>
            <w:t>exigeante</w:t>
          </w:r>
          <w:r w:rsidR="005058DF" w:rsidRPr="00240855">
            <w:rPr>
              <w:lang w:val="fr-BE"/>
            </w:rPr>
            <w:t xml:space="preserve"> </w:t>
          </w:r>
          <w:r w:rsidRPr="00240855">
            <w:rPr>
              <w:lang w:val="fr-BE"/>
            </w:rPr>
            <w:t xml:space="preserve">mais unique, en particulier en ce qui concerne </w:t>
          </w:r>
          <w:r w:rsidRPr="00B11430">
            <w:rPr>
              <w:b/>
              <w:bCs/>
              <w:lang w:val="fr-BE"/>
            </w:rPr>
            <w:t>l’utilisation primaire des données de santé</w:t>
          </w:r>
          <w:r w:rsidRPr="00240855">
            <w:rPr>
              <w:lang w:val="fr-BE"/>
            </w:rPr>
            <w:t>. Il</w:t>
          </w:r>
          <w:r w:rsidR="005058DF">
            <w:rPr>
              <w:lang w:val="fr-BE"/>
            </w:rPr>
            <w:t>/elle</w:t>
          </w:r>
          <w:r w:rsidRPr="00240855">
            <w:rPr>
              <w:lang w:val="fr-BE"/>
            </w:rPr>
            <w:t xml:space="preserve"> contribuera </w:t>
          </w:r>
          <w:r w:rsidRPr="00B11430">
            <w:rPr>
              <w:b/>
              <w:bCs/>
              <w:lang w:val="fr-BE"/>
            </w:rPr>
            <w:t>à coordonner les travaux avec les États membres et les parties prenantes</w:t>
          </w:r>
          <w:r w:rsidRPr="00240855">
            <w:rPr>
              <w:lang w:val="fr-BE"/>
            </w:rPr>
            <w:t xml:space="preserve"> dans le cadre des différents contrats, projets et actions conjointes visant à concevoir et à mettre en place les processus, le cadre et les infrastructures numériques soutenant la mise en œuvre de l’EHDS, en particulier en ce qui concerne l’utilisation des données pour </w:t>
          </w:r>
          <w:r w:rsidRPr="00B11430">
            <w:rPr>
              <w:b/>
              <w:bCs/>
              <w:lang w:val="fr-BE"/>
            </w:rPr>
            <w:t>les utilisations primaires et la certification des systèmes de dossiers médicaux électroniques (DME)</w:t>
          </w:r>
          <w:r w:rsidRPr="00240855">
            <w:rPr>
              <w:lang w:val="fr-BE"/>
            </w:rPr>
            <w:t>. Il</w:t>
          </w:r>
          <w:r w:rsidR="005C1F93">
            <w:rPr>
              <w:lang w:val="fr-BE"/>
            </w:rPr>
            <w:t>/elle</w:t>
          </w:r>
          <w:r w:rsidRPr="00240855">
            <w:rPr>
              <w:lang w:val="fr-BE"/>
            </w:rPr>
            <w:t xml:space="preserve"> sera également étroitement associé à la préparation </w:t>
          </w:r>
          <w:r w:rsidRPr="00B11430">
            <w:rPr>
              <w:b/>
              <w:bCs/>
              <w:lang w:val="fr-BE"/>
            </w:rPr>
            <w:t>des actes d’exécution et des actes délégués</w:t>
          </w:r>
          <w:r w:rsidRPr="00240855">
            <w:rPr>
              <w:lang w:val="fr-BE"/>
            </w:rPr>
            <w:t xml:space="preserve"> dans ce domaine. Le collègue </w:t>
          </w:r>
          <w:r w:rsidR="005C1F93">
            <w:rPr>
              <w:lang w:val="fr-BE"/>
            </w:rPr>
            <w:t>sélectionné</w:t>
          </w:r>
          <w:r w:rsidRPr="00240855">
            <w:rPr>
              <w:lang w:val="fr-BE"/>
            </w:rPr>
            <w:t xml:space="preserve"> travaillera en étroite collaboration avec d’autres unités de la DG SANTE, avec la DG CNECT et la DG RTD, ainsi qu’avec d’autres directions générales (GROW, JUST, JRC, etc.), avec les États membres et les principales parties prenantes dans le secteur de la santé.</w:t>
          </w:r>
        </w:p>
      </w:sdtContent>
    </w:sdt>
    <w:p w14:paraId="3D69C09B" w14:textId="77777777" w:rsidR="00301CA3" w:rsidRPr="000C1CA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AE01670" w14:textId="545E1EB0" w:rsidR="00773281" w:rsidRPr="00240855" w:rsidRDefault="00773281" w:rsidP="00773281">
          <w:pPr>
            <w:rPr>
              <w:lang w:val="fr-BE"/>
            </w:rPr>
          </w:pPr>
          <w:r w:rsidRPr="00240855">
            <w:rPr>
              <w:lang w:val="fr-BE"/>
            </w:rPr>
            <w:t xml:space="preserve">Nous recherchons un collègue désireux de travailler dans un domaine </w:t>
          </w:r>
          <w:r w:rsidR="005C1F93">
            <w:rPr>
              <w:lang w:val="fr-BE"/>
            </w:rPr>
            <w:t>d’une très grande visibilité et intérêt politique</w:t>
          </w:r>
          <w:r w:rsidRPr="00240855">
            <w:rPr>
              <w:lang w:val="fr-BE"/>
            </w:rPr>
            <w:t xml:space="preserve"> et de soutenir une équipe très dynamique et engagée. Idéalement, le candidat retenu aura une expérience </w:t>
          </w:r>
          <w:r w:rsidRPr="00B11430">
            <w:rPr>
              <w:b/>
              <w:bCs/>
              <w:lang w:val="fr-BE"/>
            </w:rPr>
            <w:t>en matière de santé numérique et d’interopérabilité des données de santé</w:t>
          </w:r>
          <w:r w:rsidRPr="00240855">
            <w:rPr>
              <w:lang w:val="fr-BE"/>
            </w:rPr>
            <w:t xml:space="preserve"> et devrait être en mesure de contribuer aux </w:t>
          </w:r>
          <w:r w:rsidRPr="00B11430">
            <w:rPr>
              <w:b/>
              <w:bCs/>
              <w:lang w:val="fr-BE"/>
            </w:rPr>
            <w:t>aspects techniques de la mise en œuvre de l’EHDS</w:t>
          </w:r>
          <w:r w:rsidRPr="00240855">
            <w:rPr>
              <w:lang w:val="fr-BE"/>
            </w:rPr>
            <w:t xml:space="preserve"> ainsi </w:t>
          </w:r>
          <w:r w:rsidR="00B05A86">
            <w:rPr>
              <w:lang w:val="fr-BE"/>
            </w:rPr>
            <w:t>qu’aux</w:t>
          </w:r>
          <w:r w:rsidRPr="00240855">
            <w:rPr>
              <w:lang w:val="fr-BE"/>
            </w:rPr>
            <w:t xml:space="preserve"> </w:t>
          </w:r>
          <w:r w:rsidRPr="00B11430">
            <w:rPr>
              <w:b/>
              <w:bCs/>
              <w:lang w:val="fr-BE"/>
            </w:rPr>
            <w:t>projets sur la santé numérique</w:t>
          </w:r>
          <w:r w:rsidRPr="00240855">
            <w:rPr>
              <w:lang w:val="fr-BE"/>
            </w:rPr>
            <w:t xml:space="preserve"> relevant de la responsabilité de l’unité. </w:t>
          </w:r>
        </w:p>
        <w:p w14:paraId="25026906" w14:textId="39CC2446" w:rsidR="00773281" w:rsidRPr="00240855" w:rsidRDefault="00B05A86" w:rsidP="00773281">
          <w:pPr>
            <w:rPr>
              <w:lang w:val="fr-BE"/>
            </w:rPr>
          </w:pPr>
          <w:r w:rsidRPr="00B05A86">
            <w:t>Les éléments suivants sont un atout :</w:t>
          </w:r>
          <w:r w:rsidR="00773281" w:rsidRPr="00240855">
            <w:rPr>
              <w:lang w:val="fr-BE"/>
            </w:rPr>
            <w:t xml:space="preserve">: </w:t>
          </w:r>
        </w:p>
        <w:p w14:paraId="6883E072" w14:textId="77777777" w:rsidR="00773281" w:rsidRPr="00773281" w:rsidRDefault="00773281" w:rsidP="00773281">
          <w:pPr>
            <w:pStyle w:val="ListParagraph"/>
            <w:numPr>
              <w:ilvl w:val="0"/>
              <w:numId w:val="26"/>
            </w:numPr>
            <w:rPr>
              <w:lang w:val="fr-BE"/>
            </w:rPr>
          </w:pPr>
          <w:r w:rsidRPr="00773281">
            <w:rPr>
              <w:lang w:val="fr-BE"/>
            </w:rPr>
            <w:lastRenderedPageBreak/>
            <w:t xml:space="preserve">une expérience dans la rédaction d’exigences et de spécifications techniques pour les plateformes informatiques et l’interopérabilité des données de santé; </w:t>
          </w:r>
        </w:p>
        <w:p w14:paraId="26466A61" w14:textId="77777777" w:rsidR="00773281" w:rsidRPr="00773281" w:rsidRDefault="00773281" w:rsidP="00773281">
          <w:pPr>
            <w:pStyle w:val="ListParagraph"/>
            <w:numPr>
              <w:ilvl w:val="0"/>
              <w:numId w:val="26"/>
            </w:numPr>
            <w:rPr>
              <w:lang w:val="fr-BE"/>
            </w:rPr>
          </w:pPr>
          <w:r w:rsidRPr="00773281">
            <w:rPr>
              <w:lang w:val="fr-BE"/>
            </w:rPr>
            <w:t xml:space="preserve">une expérience dans la gestion de projets numériques (santé) en tant que gestionnaire de projet ou d’entreprise; </w:t>
          </w:r>
        </w:p>
        <w:p w14:paraId="766BD377" w14:textId="36B7BBCF" w:rsidR="00773281" w:rsidRPr="00773281" w:rsidRDefault="00773281" w:rsidP="00773281">
          <w:pPr>
            <w:pStyle w:val="ListParagraph"/>
            <w:numPr>
              <w:ilvl w:val="0"/>
              <w:numId w:val="26"/>
            </w:numPr>
            <w:rPr>
              <w:lang w:val="fr-BE"/>
            </w:rPr>
          </w:pPr>
          <w:r w:rsidRPr="00773281">
            <w:rPr>
              <w:lang w:val="fr-BE"/>
            </w:rPr>
            <w:t xml:space="preserve">bonne connaissance des politiques de l’UE dans le domaine de la santé numérique, des technologies numériques (par exemple pour la gestion de l’identification), de la législation sur les produits et/ou des normes en matière de données de santé (par exemple SNOMED CT, HL7 FHIR, LOINC, etc.). </w:t>
          </w:r>
        </w:p>
        <w:p w14:paraId="0BF3F959" w14:textId="77777777" w:rsidR="00773281" w:rsidRPr="00240855" w:rsidRDefault="00773281" w:rsidP="00773281">
          <w:pPr>
            <w:rPr>
              <w:lang w:val="fr-BE"/>
            </w:rPr>
          </w:pPr>
          <w:r w:rsidRPr="00240855">
            <w:rPr>
              <w:lang w:val="fr-BE"/>
            </w:rPr>
            <w:t xml:space="preserve">Les certifications et les cours sur les </w:t>
          </w:r>
          <w:r w:rsidRPr="00B11430">
            <w:rPr>
              <w:b/>
              <w:bCs/>
              <w:lang w:val="fr-BE"/>
            </w:rPr>
            <w:t>normes, les formats et les cadres en matière de données de santé</w:t>
          </w:r>
          <w:r w:rsidRPr="00240855">
            <w:rPr>
              <w:lang w:val="fr-BE"/>
            </w:rPr>
            <w:t xml:space="preserve"> constituent un avantage. </w:t>
          </w:r>
        </w:p>
        <w:p w14:paraId="7E409EA7" w14:textId="7F8AF6B4" w:rsidR="001A0074" w:rsidRPr="00773281" w:rsidRDefault="00773281" w:rsidP="00773281">
          <w:pPr>
            <w:rPr>
              <w:lang w:val="fr-BE"/>
            </w:rPr>
          </w:pPr>
          <w:r w:rsidRPr="00240855">
            <w:rPr>
              <w:lang w:val="fr-BE"/>
            </w:rPr>
            <w:t>De très bonnes capacités de rédaction et de communication, la capacité à se préparer et à participer efficacement aux réunions, les compétences organisationnelles et la flexibilité pour s’adapter aux nouveaux défis sont des avantages évidents. Une très bonne maîtrise de l’anglais est nécessaire. La connaissance d’autres langues de l’UE est un atout.</w:t>
          </w:r>
        </w:p>
      </w:sdtContent>
    </w:sdt>
    <w:p w14:paraId="5D76C15C" w14:textId="77777777" w:rsidR="00F65CC2" w:rsidRPr="000C1CA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3"/>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05AA792E" w14:textId="03CC2AC4" w:rsidR="005D10A1" w:rsidRPr="008C77F3" w:rsidRDefault="005D10A1" w:rsidP="005D10A1">
      <w:pPr>
        <w:pStyle w:val="FootnoteText"/>
        <w:rPr>
          <w:lang w:val="fr-BE"/>
        </w:rPr>
      </w:pPr>
      <w:r w:rsidRPr="008C77F3">
        <w:rPr>
          <w:lang w:val="fr-BE"/>
        </w:rPr>
        <w:t>(</w:t>
      </w:r>
      <w:r>
        <w:rPr>
          <w:rStyle w:val="FootnoteReference"/>
        </w:rPr>
        <w:footnoteRef/>
      </w:r>
      <w:r w:rsidRPr="008C77F3">
        <w:rPr>
          <w:lang w:val="fr-BE"/>
        </w:rPr>
        <w:t>)</w:t>
      </w:r>
      <w:r w:rsidRPr="008C77F3">
        <w:rPr>
          <w:lang w:val="fr-BE"/>
        </w:rPr>
        <w:tab/>
      </w:r>
      <w:hyperlink r:id="rId1" w:history="1">
        <w:r w:rsidRPr="005D10A1">
          <w:rPr>
            <w:rStyle w:val="Hyperlink"/>
          </w:rPr>
          <w:t>Règlement relatif à l’espace européen des données de santé - Commission européenne</w:t>
        </w:r>
      </w:hyperlink>
    </w:p>
  </w:footnote>
  <w:footnote w:id="2">
    <w:p w14:paraId="5EEBF6BC" w14:textId="23204475" w:rsidR="005058DF" w:rsidRPr="005058DF" w:rsidRDefault="005058DF" w:rsidP="005058DF">
      <w:pPr>
        <w:pStyle w:val="FootnoteText"/>
        <w:rPr>
          <w:lang w:val="fr-BE"/>
        </w:rPr>
      </w:pPr>
      <w:r>
        <w:t>(</w:t>
      </w:r>
      <w:r>
        <w:rPr>
          <w:rStyle w:val="FootnoteReference"/>
        </w:rPr>
        <w:footnoteRef/>
      </w:r>
      <w:r>
        <w:t>)</w:t>
      </w:r>
      <w:r>
        <w:tab/>
      </w:r>
      <w:hyperlink r:id="rId2" w:history="1">
        <w:r>
          <w:rPr>
            <w:rStyle w:val="Hyperlink"/>
          </w:rPr>
          <w:t>Règlement - UE - 2025/327 - FR - EUR-Lex</w:t>
        </w:r>
      </w:hyperlink>
    </w:p>
  </w:footnote>
  <w:footnote w:id="3">
    <w:p w14:paraId="5ECB7AE6" w14:textId="46B36A45" w:rsidR="00E5708E" w:rsidRPr="00E5708E" w:rsidRDefault="00E5708E">
      <w:pPr>
        <w:pStyle w:val="FootnoteText"/>
        <w:rPr>
          <w:lang w:val="fr-BE"/>
        </w:rPr>
      </w:pPr>
      <w:r>
        <w:t>(</w:t>
      </w:r>
      <w:r>
        <w:rPr>
          <w:rStyle w:val="FootnoteReference"/>
        </w:rPr>
        <w:footnoteRef/>
      </w:r>
      <w:r>
        <w:t>)</w:t>
      </w:r>
      <w:r>
        <w:tab/>
      </w:r>
      <w:hyperlink r:id="rId3" w:history="1">
        <w:r w:rsidRPr="00C4551E">
          <w:rPr>
            <w:rStyle w:val="Hyperlink"/>
          </w:rP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DE45D5B"/>
    <w:multiLevelType w:val="hybridMultilevel"/>
    <w:tmpl w:val="0A8283AE"/>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 w:numId="26" w16cid:durableId="69110716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42D9D"/>
    <w:rsid w:val="00080A71"/>
    <w:rsid w:val="000914BF"/>
    <w:rsid w:val="00097587"/>
    <w:rsid w:val="000C1CA8"/>
    <w:rsid w:val="000C544F"/>
    <w:rsid w:val="000F7627"/>
    <w:rsid w:val="001A0074"/>
    <w:rsid w:val="001D3EEC"/>
    <w:rsid w:val="001F7D25"/>
    <w:rsid w:val="00215A56"/>
    <w:rsid w:val="0028413D"/>
    <w:rsid w:val="002841B7"/>
    <w:rsid w:val="002A6E30"/>
    <w:rsid w:val="002B37EB"/>
    <w:rsid w:val="002B3850"/>
    <w:rsid w:val="00301CA3"/>
    <w:rsid w:val="00377580"/>
    <w:rsid w:val="00394581"/>
    <w:rsid w:val="00443957"/>
    <w:rsid w:val="00462268"/>
    <w:rsid w:val="004A4BB7"/>
    <w:rsid w:val="004D3B51"/>
    <w:rsid w:val="005058DF"/>
    <w:rsid w:val="0053405E"/>
    <w:rsid w:val="00556CBD"/>
    <w:rsid w:val="005A5E63"/>
    <w:rsid w:val="005C1F93"/>
    <w:rsid w:val="005D10A1"/>
    <w:rsid w:val="0065258B"/>
    <w:rsid w:val="006A1CB2"/>
    <w:rsid w:val="006B47B6"/>
    <w:rsid w:val="006F23BA"/>
    <w:rsid w:val="0074301E"/>
    <w:rsid w:val="00770C34"/>
    <w:rsid w:val="00773281"/>
    <w:rsid w:val="007A0FB4"/>
    <w:rsid w:val="007A10AA"/>
    <w:rsid w:val="007A1396"/>
    <w:rsid w:val="007B5FAE"/>
    <w:rsid w:val="007E131B"/>
    <w:rsid w:val="007E4F35"/>
    <w:rsid w:val="00815DB0"/>
    <w:rsid w:val="008241B0"/>
    <w:rsid w:val="008315CD"/>
    <w:rsid w:val="00846C8E"/>
    <w:rsid w:val="00866E7F"/>
    <w:rsid w:val="008A0FF3"/>
    <w:rsid w:val="008C77F3"/>
    <w:rsid w:val="0092295D"/>
    <w:rsid w:val="00A56CD9"/>
    <w:rsid w:val="00A65B97"/>
    <w:rsid w:val="00A917BE"/>
    <w:rsid w:val="00B05A86"/>
    <w:rsid w:val="00B11430"/>
    <w:rsid w:val="00B31DC8"/>
    <w:rsid w:val="00B566C1"/>
    <w:rsid w:val="00BF389A"/>
    <w:rsid w:val="00C4551E"/>
    <w:rsid w:val="00C471A0"/>
    <w:rsid w:val="00C518F5"/>
    <w:rsid w:val="00C5504D"/>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773281"/>
    <w:pPr>
      <w:ind w:left="720"/>
      <w:contextualSpacing/>
    </w:pPr>
  </w:style>
  <w:style w:type="paragraph" w:styleId="Revision">
    <w:name w:val="Revision"/>
    <w:hidden/>
    <w:semiHidden/>
    <w:locked/>
    <w:rsid w:val="000C1CA8"/>
  </w:style>
  <w:style w:type="character" w:styleId="FollowedHyperlink">
    <w:name w:val="FollowedHyperlink"/>
    <w:basedOn w:val="DefaultParagraphFont"/>
    <w:semiHidden/>
    <w:locked/>
    <w:rsid w:val="005D10A1"/>
    <w:rPr>
      <w:color w:val="954F72" w:themeColor="followedHyperlink"/>
      <w:u w:val="single"/>
    </w:rPr>
  </w:style>
  <w:style w:type="character" w:styleId="UnresolvedMention">
    <w:name w:val="Unresolved Mention"/>
    <w:basedOn w:val="DefaultParagraphFont"/>
    <w:semiHidden/>
    <w:locked/>
    <w:rsid w:val="005D10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FR/TXT/?uri=CELEX%3A32018R1725" TargetMode="External"/><Relationship Id="rId2" Type="http://schemas.openxmlformats.org/officeDocument/2006/relationships/hyperlink" Target="https://eur-lex.europa.eu/legal-content/fr/TXT/?uri=OJ:L_202500327" TargetMode="External"/><Relationship Id="rId1" Type="http://schemas.openxmlformats.org/officeDocument/2006/relationships/hyperlink" Target="https://health.ec.europa.eu/ehealth-digital-health-and-care/european-health-data-space-regulation-ehds_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65FFD3B9ED13406699B025FF49844EE2"/>
        <w:category>
          <w:name w:val="General"/>
          <w:gallery w:val="placeholder"/>
        </w:category>
        <w:types>
          <w:type w:val="bbPlcHdr"/>
        </w:types>
        <w:behaviors>
          <w:behavior w:val="content"/>
        </w:behaviors>
        <w:guid w:val="{122E98C5-A68B-41F0-AC2D-71BFD73F8FF5}"/>
      </w:docPartPr>
      <w:docPartBody>
        <w:p w:rsidR="00884204" w:rsidRDefault="00884204" w:rsidP="00884204">
          <w:pPr>
            <w:pStyle w:val="65FFD3B9ED13406699B025FF49844EE2"/>
          </w:pPr>
          <w:r w:rsidRPr="0007110E">
            <w:rPr>
              <w:rStyle w:val="PlaceholderText"/>
              <w:bCs/>
            </w:rPr>
            <w:t>Click or tap here to enter text.</w:t>
          </w:r>
        </w:p>
      </w:docPartBody>
    </w:docPart>
    <w:docPart>
      <w:docPartPr>
        <w:name w:val="B983C7C7DBA54FB6A11622460D49E396"/>
        <w:category>
          <w:name w:val="General"/>
          <w:gallery w:val="placeholder"/>
        </w:category>
        <w:types>
          <w:type w:val="bbPlcHdr"/>
        </w:types>
        <w:behaviors>
          <w:behavior w:val="content"/>
        </w:behaviors>
        <w:guid w:val="{CAB29C3E-F95E-4788-B4FC-8E999A835BA3}"/>
      </w:docPartPr>
      <w:docPartBody>
        <w:p w:rsidR="00884204" w:rsidRDefault="00884204" w:rsidP="00884204">
          <w:pPr>
            <w:pStyle w:val="B983C7C7DBA54FB6A11622460D49E39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42269"/>
    <w:multiLevelType w:val="multilevel"/>
    <w:tmpl w:val="96606F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57982738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C544F"/>
    <w:rsid w:val="000F7627"/>
    <w:rsid w:val="002B3850"/>
    <w:rsid w:val="00534FB6"/>
    <w:rsid w:val="005A5E63"/>
    <w:rsid w:val="007818B4"/>
    <w:rsid w:val="00884204"/>
    <w:rsid w:val="008F2A96"/>
    <w:rsid w:val="00983F83"/>
    <w:rsid w:val="00A56CD9"/>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84204"/>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65FFD3B9ED13406699B025FF49844EE2">
    <w:name w:val="65FFD3B9ED13406699B025FF49844EE2"/>
    <w:rsid w:val="00884204"/>
    <w:pPr>
      <w:spacing w:line="278" w:lineRule="auto"/>
    </w:pPr>
    <w:rPr>
      <w:kern w:val="2"/>
      <w:sz w:val="24"/>
      <w:szCs w:val="24"/>
      <w14:ligatures w14:val="standardContextual"/>
    </w:rPr>
  </w:style>
  <w:style w:type="paragraph" w:customStyle="1" w:styleId="B983C7C7DBA54FB6A11622460D49E396">
    <w:name w:val="B983C7C7DBA54FB6A11622460D49E396"/>
    <w:rsid w:val="0088420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sharepoint/v3/fields"/>
    <ds:schemaRef ds:uri="1929b814-5a78-4bdc-9841-d8b9ef424f65"/>
    <ds:schemaRef ds:uri="http://www.w3.org/XML/1998/namespace"/>
    <ds:schemaRef ds:uri="08927195-b699-4be0-9ee2-6c66dc215b5a"/>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a41a97bf-0494-41d8-ba3d-259bd7771890"/>
    <ds:schemaRef ds:uri="http://purl.org/dc/dcmitype/"/>
    <ds:schemaRef ds:uri="30c666ed-fe46-43d6-bf30-6de2567680e6"/>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F1871C3-E342-4CAD-BE9D-7E5B0D0AE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65</TotalTime>
  <Pages>4</Pages>
  <Words>1442</Words>
  <Characters>8221</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2025-03-27T19:24:00Z</dcterms:created>
  <dcterms:modified xsi:type="dcterms:W3CDTF">2025-04-14T09:00:00Z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