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A39D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A39D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A39D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A39D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A39D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A39D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3011C013">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3C378732" w:rsidR="00377580" w:rsidRPr="00080A71" w:rsidRDefault="009025FA" w:rsidP="005F6927">
                <w:pPr>
                  <w:tabs>
                    <w:tab w:val="left" w:pos="426"/>
                  </w:tabs>
                  <w:rPr>
                    <w:bCs/>
                    <w:lang w:val="en-IE" w:eastAsia="en-GB"/>
                  </w:rPr>
                </w:pPr>
                <w:r>
                  <w:rPr>
                    <w:bCs/>
                    <w:lang w:val="fr-BE" w:eastAsia="en-GB"/>
                  </w:rPr>
                  <w:t>INTPA</w:t>
                </w:r>
                <w:r w:rsidR="00866A06">
                  <w:rPr>
                    <w:bCs/>
                    <w:lang w:val="fr-BE" w:eastAsia="en-GB"/>
                  </w:rPr>
                  <w:t>-</w:t>
                </w:r>
                <w:r>
                  <w:rPr>
                    <w:bCs/>
                    <w:lang w:val="fr-BE" w:eastAsia="en-GB"/>
                  </w:rPr>
                  <w:t>F</w:t>
                </w:r>
                <w:r w:rsidR="00866A06">
                  <w:rPr>
                    <w:bCs/>
                    <w:lang w:val="fr-BE" w:eastAsia="en-GB"/>
                  </w:rPr>
                  <w:t>-</w:t>
                </w:r>
                <w:r>
                  <w:rPr>
                    <w:bCs/>
                    <w:lang w:val="fr-BE" w:eastAsia="en-GB"/>
                  </w:rPr>
                  <w:t>3</w:t>
                </w:r>
              </w:p>
            </w:tc>
          </w:sdtContent>
        </w:sdt>
      </w:tr>
      <w:tr w:rsidR="00377580" w:rsidRPr="009025FA" w14:paraId="134D49F6" w14:textId="77777777" w:rsidTr="3011C013">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lang w:val="fr-BE" w:eastAsia="en-GB"/>
            </w:rPr>
            <w:id w:val="-686597872"/>
            <w:placeholder>
              <w:docPart w:val="60106104C58244479DA9EA116B4F1602"/>
            </w:placeholder>
          </w:sdtPr>
          <w:sdtEndPr/>
          <w:sdtContent>
            <w:tc>
              <w:tcPr>
                <w:tcW w:w="5491" w:type="dxa"/>
              </w:tcPr>
              <w:p w14:paraId="51C87C16" w14:textId="36DDADA6" w:rsidR="00377580" w:rsidRPr="00080A71" w:rsidRDefault="00446AC7" w:rsidP="005F6927">
                <w:pPr>
                  <w:tabs>
                    <w:tab w:val="left" w:pos="426"/>
                  </w:tabs>
                  <w:rPr>
                    <w:bCs/>
                    <w:lang w:val="en-IE" w:eastAsia="en-GB"/>
                  </w:rPr>
                </w:pPr>
                <w:r>
                  <w:rPr>
                    <w:bCs/>
                    <w:lang w:val="fr-BE" w:eastAsia="en-GB"/>
                  </w:rPr>
                  <w:t>198162</w:t>
                </w:r>
              </w:p>
            </w:tc>
          </w:sdtContent>
        </w:sdt>
      </w:tr>
      <w:tr w:rsidR="00377580" w:rsidRPr="00092BC7" w14:paraId="38F42E75" w14:textId="77777777" w:rsidTr="3011C013">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p w14:paraId="369CA7C8" w14:textId="230E1FE0" w:rsidR="00377580" w:rsidRPr="00B72AA6" w:rsidRDefault="009025FA" w:rsidP="005F6927">
                <w:pPr>
                  <w:tabs>
                    <w:tab w:val="left" w:pos="426"/>
                  </w:tabs>
                  <w:rPr>
                    <w:bCs/>
                    <w:lang w:val="pt-PT" w:eastAsia="en-GB"/>
                  </w:rPr>
                </w:pPr>
                <w:r w:rsidRPr="00B72AA6">
                  <w:rPr>
                    <w:bCs/>
                    <w:lang w:val="pt-PT" w:eastAsia="en-GB"/>
                  </w:rPr>
                  <w:t>Leonard MIZZI</w:t>
                </w:r>
              </w:p>
            </w:sdtContent>
          </w:sdt>
          <w:p w14:paraId="32DD8032" w14:textId="5FF1BAB1" w:rsidR="00377580" w:rsidRPr="00B72AA6" w:rsidRDefault="001A39DE" w:rsidP="3011C013">
            <w:pPr>
              <w:tabs>
                <w:tab w:val="left" w:pos="426"/>
              </w:tabs>
              <w:contextualSpacing/>
              <w:rPr>
                <w:lang w:val="pt-PT" w:eastAsia="en-GB"/>
              </w:rPr>
            </w:pPr>
            <w:sdt>
              <w:sdtPr>
                <w:rPr>
                  <w:lang w:val="fr-BE" w:eastAsia="en-GB"/>
                </w:rPr>
                <w:id w:val="1175461244"/>
                <w:placeholder>
                  <w:docPart w:val="8C22AB55BBA54E638A78E6CCB625149B"/>
                </w:placeholder>
              </w:sdtPr>
              <w:sdtEndPr/>
              <w:sdtContent>
                <w:r w:rsidR="00092BC7" w:rsidRPr="3011C013">
                  <w:rPr>
                    <w:lang w:val="pt-PT" w:eastAsia="en-GB"/>
                  </w:rPr>
                  <w:t xml:space="preserve">4eme </w:t>
                </w:r>
              </w:sdtContent>
            </w:sdt>
            <w:r w:rsidR="00377580" w:rsidRPr="3011C013">
              <w:rPr>
                <w:lang w:val="pt-PT" w:eastAsia="en-GB"/>
              </w:rPr>
              <w:t xml:space="preserve"> trimestre</w:t>
            </w:r>
            <w:r w:rsidR="00B566C1" w:rsidRPr="3011C013">
              <w:rPr>
                <w:lang w:val="pt-PT" w:eastAsia="en-GB"/>
              </w:rPr>
              <w:t xml:space="preserve"> </w:t>
            </w:r>
            <w:sdt>
              <w:sdtPr>
                <w:rPr>
                  <w:lang w:val="fr-BE" w:eastAsia="en-GB"/>
                </w:rPr>
                <w:id w:val="1115250968"/>
                <w:placeholder>
                  <w:docPart w:val="9EBECBA452424E76B003807228B1B58D"/>
                </w:placeholder>
              </w:sdtPr>
              <w:sdtEndPr/>
              <w:sdtContent>
                <w:sdt>
                  <w:sdtPr>
                    <w:rPr>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025FA" w:rsidRPr="3011C013">
                      <w:rPr>
                        <w:lang w:val="pt-PT" w:eastAsia="en-GB"/>
                      </w:rPr>
                      <w:t>202</w:t>
                    </w:r>
                    <w:r w:rsidR="233D85CB" w:rsidRPr="3011C013">
                      <w:rPr>
                        <w:lang w:val="pt-PT" w:eastAsia="en-GB"/>
                      </w:rPr>
                      <w:t>5</w:t>
                    </w:r>
                  </w:sdtContent>
                </w:sdt>
              </w:sdtContent>
            </w:sdt>
            <w:r w:rsidR="00377580" w:rsidRPr="3011C013">
              <w:rPr>
                <w:lang w:val="pt-PT" w:eastAsia="en-GB"/>
              </w:rPr>
              <w:t xml:space="preserve"> </w:t>
            </w:r>
          </w:p>
          <w:p w14:paraId="768BBE26" w14:textId="7E7F609C" w:rsidR="00377580" w:rsidRPr="00B72AA6" w:rsidRDefault="001A39DE" w:rsidP="005F6927">
            <w:pPr>
              <w:tabs>
                <w:tab w:val="left" w:pos="426"/>
              </w:tabs>
              <w:contextualSpacing/>
              <w:jc w:val="left"/>
              <w:rPr>
                <w:bCs/>
                <w:szCs w:val="24"/>
                <w:lang w:val="pt-PT" w:eastAsia="en-GB"/>
              </w:rPr>
            </w:pPr>
            <w:sdt>
              <w:sdtPr>
                <w:rPr>
                  <w:bCs/>
                  <w:lang w:val="fr-BE" w:eastAsia="en-GB"/>
                </w:rPr>
                <w:id w:val="202528730"/>
                <w:placeholder>
                  <w:docPart w:val="8C22AB55BBA54E638A78E6CCB625149B"/>
                </w:placeholder>
              </w:sdtPr>
              <w:sdtEndPr/>
              <w:sdtContent>
                <w:r w:rsidR="009025FA" w:rsidRPr="00B72AA6">
                  <w:rPr>
                    <w:bCs/>
                    <w:lang w:val="pt-PT" w:eastAsia="en-GB"/>
                  </w:rPr>
                  <w:t>2</w:t>
                </w:r>
              </w:sdtContent>
            </w:sdt>
            <w:r w:rsidR="00377580" w:rsidRPr="00B72AA6">
              <w:rPr>
                <w:bCs/>
                <w:lang w:val="pt-PT" w:eastAsia="en-GB"/>
              </w:rPr>
              <w:t xml:space="preserve"> années</w:t>
            </w:r>
            <w:r w:rsidR="00377580" w:rsidRPr="00B72AA6">
              <w:rPr>
                <w:bCs/>
                <w:lang w:val="pt-PT" w:eastAsia="en-GB"/>
              </w:rPr>
              <w:br/>
            </w:r>
            <w:sdt>
              <w:sdtPr>
                <w:rPr>
                  <w:bCs/>
                  <w:szCs w:val="24"/>
                  <w:lang w:val="pt-PT" w:eastAsia="en-GB"/>
                </w:rPr>
                <w:id w:val="-69433268"/>
                <w14:checkbox>
                  <w14:checked w14:val="1"/>
                  <w14:checkedState w14:val="2612" w14:font="MS Gothic"/>
                  <w14:uncheckedState w14:val="2610" w14:font="MS Gothic"/>
                </w14:checkbox>
              </w:sdtPr>
              <w:sdtEndPr/>
              <w:sdtContent>
                <w:r w:rsidR="009025FA" w:rsidRPr="00B72AA6">
                  <w:rPr>
                    <w:rFonts w:ascii="MS Gothic" w:eastAsia="MS Gothic" w:hAnsi="MS Gothic" w:hint="eastAsia"/>
                    <w:bCs/>
                    <w:szCs w:val="24"/>
                    <w:lang w:val="pt-PT" w:eastAsia="en-GB"/>
                  </w:rPr>
                  <w:t>☒</w:t>
                </w:r>
              </w:sdtContent>
            </w:sdt>
            <w:r w:rsidR="00377580" w:rsidRPr="00B72AA6">
              <w:rPr>
                <w:bCs/>
                <w:lang w:val="pt-PT" w:eastAsia="en-GB"/>
              </w:rPr>
              <w:t xml:space="preserve"> Bruxelles </w:t>
            </w:r>
            <w:r w:rsidR="0092295D" w:rsidRPr="00B72AA6">
              <w:rPr>
                <w:bCs/>
                <w:lang w:val="pt-PT" w:eastAsia="en-GB"/>
              </w:rPr>
              <w:t xml:space="preserve"> </w:t>
            </w:r>
            <w:r w:rsidR="00377580" w:rsidRPr="00B72AA6">
              <w:rPr>
                <w:bCs/>
                <w:lang w:val="pt-PT" w:eastAsia="en-GB"/>
              </w:rPr>
              <w:t xml:space="preserve"> </w:t>
            </w:r>
            <w:sdt>
              <w:sdtPr>
                <w:rPr>
                  <w:bCs/>
                  <w:szCs w:val="24"/>
                  <w:lang w:val="pt-PT" w:eastAsia="en-GB"/>
                </w:rPr>
                <w:id w:val="1282158214"/>
                <w14:checkbox>
                  <w14:checked w14:val="0"/>
                  <w14:checkedState w14:val="2612" w14:font="MS Gothic"/>
                  <w14:uncheckedState w14:val="2610" w14:font="MS Gothic"/>
                </w14:checkbox>
              </w:sdtPr>
              <w:sdtEndPr/>
              <w:sdtContent>
                <w:r w:rsidR="00377580" w:rsidRPr="00B72AA6">
                  <w:rPr>
                    <w:rFonts w:ascii="MS Gothic" w:eastAsia="MS Gothic" w:hAnsi="MS Gothic"/>
                    <w:bCs/>
                    <w:szCs w:val="24"/>
                    <w:lang w:val="pt-PT" w:eastAsia="en-GB"/>
                  </w:rPr>
                  <w:t>☐</w:t>
                </w:r>
              </w:sdtContent>
            </w:sdt>
            <w:r w:rsidR="00377580" w:rsidRPr="00B72AA6">
              <w:rPr>
                <w:bCs/>
                <w:szCs w:val="24"/>
                <w:lang w:val="pt-PT" w:eastAsia="en-GB"/>
              </w:rPr>
              <w:t xml:space="preserve"> Luxembourg   </w:t>
            </w:r>
            <w:sdt>
              <w:sdtPr>
                <w:rPr>
                  <w:bCs/>
                  <w:szCs w:val="24"/>
                  <w:lang w:val="pt-PT" w:eastAsia="en-GB"/>
                </w:rPr>
                <w:id w:val="-432676822"/>
                <w14:checkbox>
                  <w14:checked w14:val="0"/>
                  <w14:checkedState w14:val="2612" w14:font="MS Gothic"/>
                  <w14:uncheckedState w14:val="2610" w14:font="MS Gothic"/>
                </w14:checkbox>
              </w:sdtPr>
              <w:sdtEndPr/>
              <w:sdtContent>
                <w:r w:rsidR="00377580" w:rsidRPr="00B72AA6">
                  <w:rPr>
                    <w:rFonts w:ascii="MS Gothic" w:eastAsia="MS Gothic" w:hAnsi="MS Gothic"/>
                    <w:bCs/>
                    <w:szCs w:val="24"/>
                    <w:lang w:val="pt-PT" w:eastAsia="en-GB"/>
                  </w:rPr>
                  <w:t>☐</w:t>
                </w:r>
              </w:sdtContent>
            </w:sdt>
            <w:r w:rsidR="00377580" w:rsidRPr="00B72AA6">
              <w:rPr>
                <w:bCs/>
                <w:szCs w:val="24"/>
                <w:lang w:val="pt-PT" w:eastAsia="en-GB"/>
              </w:rPr>
              <w:t xml:space="preserve"> Autre: </w:t>
            </w:r>
          </w:p>
          <w:p w14:paraId="6A0ABCA6" w14:textId="77777777" w:rsidR="00377580" w:rsidRPr="00B72AA6" w:rsidRDefault="00377580" w:rsidP="005F6927">
            <w:pPr>
              <w:tabs>
                <w:tab w:val="left" w:pos="426"/>
              </w:tabs>
              <w:spacing w:after="0"/>
              <w:contextualSpacing/>
              <w:rPr>
                <w:bCs/>
                <w:lang w:val="pt-PT" w:eastAsia="en-GB"/>
              </w:rPr>
            </w:pPr>
          </w:p>
        </w:tc>
      </w:tr>
      <w:tr w:rsidR="00E850B7" w:rsidRPr="00AF417C" w14:paraId="7643981F" w14:textId="77777777" w:rsidTr="3011C013">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24D909B"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3011C013">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F47BBB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A39D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A39D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A39D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FE7E46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092BC7" w14:paraId="377A2509" w14:textId="77777777" w:rsidTr="3011C013">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2116CA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9D0D2D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1A39DE">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0132FDE1" w14:textId="77777777" w:rsidR="001A36BC" w:rsidRPr="0010370C" w:rsidRDefault="001A36BC" w:rsidP="001A36BC">
      <w:pPr>
        <w:pStyle w:val="ListNumber"/>
        <w:numPr>
          <w:ilvl w:val="0"/>
          <w:numId w:val="0"/>
        </w:numPr>
        <w:rPr>
          <w:lang w:eastAsia="en-GB"/>
        </w:rPr>
      </w:pPr>
      <w:r w:rsidRPr="0010370C">
        <w:rPr>
          <w:lang w:eastAsia="en-GB"/>
        </w:rPr>
        <w:t>DG INTPA a pour mission de contribuer, dans le cadre des relations extérieures de l’Union européenne, au développement durable, à l’éradication de la pauvreté, à la paix et à la protection des droits de l’homme, par le biais de partenariats internationaux qui défendent et promeuvent les valeurs et les intérêts européens.</w:t>
      </w:r>
    </w:p>
    <w:p w14:paraId="1C424262" w14:textId="77777777" w:rsidR="001A36BC" w:rsidRPr="0010370C" w:rsidRDefault="001A36BC" w:rsidP="001A36BC">
      <w:pPr>
        <w:pStyle w:val="ListNumber"/>
        <w:numPr>
          <w:ilvl w:val="0"/>
          <w:numId w:val="0"/>
        </w:numPr>
        <w:rPr>
          <w:lang w:eastAsia="en-GB"/>
        </w:rPr>
      </w:pPr>
    </w:p>
    <w:p w14:paraId="34F9726F" w14:textId="77777777" w:rsidR="001A36BC" w:rsidRPr="0010370C" w:rsidRDefault="001A36BC" w:rsidP="001A36BC">
      <w:pPr>
        <w:pStyle w:val="ListNumber"/>
        <w:numPr>
          <w:ilvl w:val="0"/>
          <w:numId w:val="0"/>
        </w:numPr>
        <w:rPr>
          <w:lang w:eastAsia="en-GB"/>
        </w:rPr>
      </w:pPr>
      <w:r w:rsidRPr="0010370C">
        <w:rPr>
          <w:lang w:eastAsia="en-GB"/>
        </w:rPr>
        <w:lastRenderedPageBreak/>
        <w:t>Dans le cadre des relations extérieures de l’Union européenne, nous fondons nos actions sur le droit international et le multilatéralisme et sommes à l’avant-garde des efforts de l’Union européenne pour mettre en œuvre les engagements mondiaux, notamment l’Agenda 2030 et les Objectifs de développement durable des Nations unies ainsi que l’Accord de Paris sur le changement climatique.</w:t>
      </w:r>
    </w:p>
    <w:p w14:paraId="60A7E094" w14:textId="0ED6BC94" w:rsidR="001A36BC" w:rsidRDefault="001A36BC" w:rsidP="001A36BC">
      <w:pPr>
        <w:pStyle w:val="ListNumber"/>
        <w:numPr>
          <w:ilvl w:val="0"/>
          <w:numId w:val="0"/>
        </w:numPr>
        <w:rPr>
          <w:lang w:eastAsia="en-GB"/>
        </w:rPr>
      </w:pPr>
      <w:r w:rsidRPr="0010370C">
        <w:rPr>
          <w:lang w:eastAsia="en-GB"/>
        </w:rPr>
        <w:t xml:space="preserve">Dans le cadre de l’ambition géopolitique et des orientations politiques fixées par le président de la Commission européenne, nous menons la coopération internationale en établissant des partenariats avec des pays et des organisations du monde entier. La DG INTPA travaille en étroite collaboration avec les services de la Commission et le Service européen pour l’action extérieure afin de garantir que la dimension extérieure de toutes les politiques de l’UE renforce notre action dans le monde. </w:t>
      </w:r>
      <w:r w:rsidR="002450A0">
        <w:t xml:space="preserve">Nous travaillons en étroite collaboration avec nos États membres pour mobiliser une approche forte de Team Europe derrière notre agenda de l'UE sur la scène mondiale, en particulier le projet EU Global Gateway. </w:t>
      </w:r>
      <w:r w:rsidRPr="0010370C">
        <w:rPr>
          <w:lang w:eastAsia="en-GB"/>
        </w:rPr>
        <w:t>Nous travaillons main dans la main avec nos partenaires, en définissant des programmes politiques, en prenant des initiatives et en assurant une mise en œuvre efficace de nos actions pour le bénéfice ultime des populations du monde entier.</w:t>
      </w:r>
    </w:p>
    <w:p w14:paraId="30B422AA" w14:textId="77777777" w:rsidR="00301CA3" w:rsidRPr="001A36BC" w:rsidRDefault="00301CA3" w:rsidP="001A0074">
      <w:pPr>
        <w:rPr>
          <w:b/>
          <w:bCs/>
          <w:lang w:eastAsia="en-GB"/>
        </w:rPr>
      </w:pPr>
    </w:p>
    <w:p w14:paraId="3B1D2FA2" w14:textId="56509B42" w:rsidR="001A0074" w:rsidRPr="001A36BC" w:rsidRDefault="00B31DC8" w:rsidP="001A0074">
      <w:pPr>
        <w:rPr>
          <w:lang w:val="fr-BE" w:eastAsia="en-GB"/>
        </w:rPr>
      </w:pPr>
      <w:r w:rsidRPr="001D3EEC">
        <w:rPr>
          <w:b/>
          <w:bCs/>
          <w:lang w:val="fr-BE" w:eastAsia="en-GB"/>
        </w:rPr>
        <w:t>Présentation du poste (nous proposons)</w:t>
      </w:r>
    </w:p>
    <w:p w14:paraId="51673FE5" w14:textId="39D05E77" w:rsidR="009875D0" w:rsidRPr="009875D0" w:rsidRDefault="009875D0" w:rsidP="009875D0">
      <w:pPr>
        <w:spacing w:before="100" w:beforeAutospacing="1" w:after="100" w:afterAutospacing="1"/>
        <w:rPr>
          <w:szCs w:val="24"/>
          <w:lang w:val="fr-BE"/>
        </w:rPr>
      </w:pPr>
      <w:r w:rsidRPr="009875D0">
        <w:rPr>
          <w:szCs w:val="24"/>
          <w:lang w:val="fr-BE"/>
        </w:rPr>
        <w:t>Le Pacte vert pour l’Europe est un ensemble d’initiatives politiques visant à soutenir la transition vers la durabilité dans des secteurs clés tels que l’agriculture et l’alimentation. La Vision pour l’agriculture et l’alimentation (2025) vise à renforcer la confiance et le dialogue tout au long de la chaîne de valeur, tant au sein de l’UE qu’à l’échelle mondiale. Elle met l’accent sur une collaboration étroite avec les institutions concernées, les agriculteurs, les acteurs de la chaîne alimentaire et la société civile aux niveaux local et régional, en prenant en compte leurs préoccupations.</w:t>
      </w:r>
      <w:r>
        <w:rPr>
          <w:szCs w:val="24"/>
          <w:lang w:val="fr-BE"/>
        </w:rPr>
        <w:t xml:space="preserve"> </w:t>
      </w:r>
      <w:r w:rsidRPr="009875D0">
        <w:rPr>
          <w:szCs w:val="24"/>
          <w:lang w:val="fr-BE"/>
        </w:rPr>
        <w:t>Elle comprend de nouvelles opportunités de revenus supplémentaires pour les agriculteurs et les pêcheurs grâce à une économie neutre en carbone et favorable à la nature. Le secteur biologique et les pratiques agricoles agroécologiques sont reconnus comme des options attractives pour les jeunes agriculteurs, en complément des innovations issues de la bioéconomie, de l’économie circulaire et des opportunités liées à l’agriculture carbone. Elle souligne que la « connaissance, la recherche et l’innovation » doivent parvenir plus rapidement et à plus grande échelle aux agriculteurs et aux autres acteurs des systèmes alimentaires. De plus, le renforcement des partenariats internationaux et de la coopération sur la scène mondiale avec les organisations internationales contribuera à fournir des solutions innovantes. Le renforcement des systèmes de connaissances et d’innovation agricoles est nécessaire pour rendre les nouvelles connaissances et innovations accessibles et utilisées.</w:t>
      </w:r>
    </w:p>
    <w:p w14:paraId="010B0E42" w14:textId="77777777" w:rsidR="009875D0" w:rsidRPr="009875D0" w:rsidRDefault="009875D0" w:rsidP="009875D0">
      <w:pPr>
        <w:spacing w:before="100" w:beforeAutospacing="1" w:after="100" w:afterAutospacing="1"/>
        <w:rPr>
          <w:szCs w:val="24"/>
          <w:lang w:val="fr-BE"/>
        </w:rPr>
      </w:pPr>
      <w:r w:rsidRPr="009875D0">
        <w:rPr>
          <w:szCs w:val="24"/>
          <w:lang w:val="fr-BE"/>
        </w:rPr>
        <w:t>L’action extérieure de l’UE sera fortement guidée par la stratégie Global Gateway, qui vise à renforcer les infrastructures durables et le développement dans les pays partenaires. Elle met l’accent sur la mobilisation des investissements privés et, pour le secteur agroalimentaire, sur les chaînes de valeur agroalimentaires. « Éducation et recherche » est un pilier de Global Gateway et contribue à créer un environnement favorable et à renforcer les capacités pour ses autres piliers. En complément de Global Gateway, l’action extérieure de l’UE abordera les questions de fragilité, les défis mondiaux et les initiatives internationales.</w:t>
      </w:r>
    </w:p>
    <w:p w14:paraId="202EBA31" w14:textId="77777777" w:rsidR="009875D0" w:rsidRPr="009875D0" w:rsidRDefault="009875D0" w:rsidP="009875D0">
      <w:pPr>
        <w:spacing w:before="100" w:beforeAutospacing="1" w:after="100" w:afterAutospacing="1"/>
        <w:rPr>
          <w:szCs w:val="24"/>
          <w:lang w:val="fr-BE"/>
        </w:rPr>
      </w:pPr>
      <w:r w:rsidRPr="009875D0">
        <w:rPr>
          <w:szCs w:val="24"/>
          <w:lang w:val="fr-BE"/>
        </w:rPr>
        <w:t xml:space="preserve">La Direction générale des partenariats internationaux (DG INTPA) possède une longue expérience en matière de recherche et d’innovation pour l’agriculture (R&amp;I) et la transition des systèmes alimentaires, notamment à travers des programmes tels que DeSIRA et </w:t>
      </w:r>
      <w:r w:rsidRPr="009875D0">
        <w:rPr>
          <w:szCs w:val="24"/>
          <w:lang w:val="fr-BE"/>
        </w:rPr>
        <w:lastRenderedPageBreak/>
        <w:t>DeSIRA+. Elle intégrera la R&amp;I dans les nouvelles priorités de l’UE pour l’action extérieure, notamment dans le cadre de la stratégie Global Gateway. Dans ce contexte, elle sollicite la nomination d’un expert national détaché (END) pour fournir des conseils techniques et un soutien opérationnel sur les processus de recherche et d’innovation ainsi que sur les écosystèmes d’innovation en faveur des approches agroécologiques et circulaires dans le secteur agroalimentaire, afin d’assurer un impact à grande échelle.</w:t>
      </w:r>
    </w:p>
    <w:p w14:paraId="3BA9B6D4" w14:textId="77777777" w:rsidR="009875D0" w:rsidRPr="009875D0" w:rsidRDefault="009875D0" w:rsidP="009875D0">
      <w:pPr>
        <w:spacing w:before="100" w:beforeAutospacing="1" w:after="100" w:afterAutospacing="1"/>
        <w:rPr>
          <w:szCs w:val="24"/>
          <w:lang w:val="fr-BE"/>
        </w:rPr>
      </w:pPr>
      <w:r w:rsidRPr="009875D0">
        <w:rPr>
          <w:szCs w:val="24"/>
          <w:lang w:val="fr-BE"/>
        </w:rPr>
        <w:t>Les missions seront menées à travers la DG INTPA et/ou les initiatives Team Europe, en collaboration avec d’autres directions générales pertinentes de la Commission européenne et en partenariat avec des réseaux internationaux tels que le CGIAR. L’expert apportera également des orientations et un soutien de qualité pour l’analyse des chaînes de valeur agricoles (y compris l’élevage, l’aquaculture et la pêche) dans le cadre de partenariats plus larges pour des chaînes de valeur agroalimentaires durables et des systèmes alimentaires alignés sur la stratégie Global Gateway de l’UE.</w:t>
      </w:r>
    </w:p>
    <w:p w14:paraId="5A309210" w14:textId="5922E44B" w:rsidR="001A36BC" w:rsidRPr="001A36BC" w:rsidRDefault="001A36BC" w:rsidP="001A36BC">
      <w:pPr>
        <w:spacing w:before="120" w:after="120"/>
        <w:rPr>
          <w:i/>
          <w:iCs/>
        </w:rPr>
      </w:pPr>
      <w:r w:rsidRPr="0010370C">
        <w:rPr>
          <w:i/>
          <w:iCs/>
        </w:rPr>
        <w:t xml:space="preserve">Description </w:t>
      </w:r>
      <w:r>
        <w:rPr>
          <w:i/>
          <w:iCs/>
        </w:rPr>
        <w:t>des fonctions</w:t>
      </w:r>
    </w:p>
    <w:p w14:paraId="1286534A" w14:textId="617B287F" w:rsidR="009875D0" w:rsidRPr="009A23CA" w:rsidRDefault="009875D0" w:rsidP="009A23CA">
      <w:pPr>
        <w:pStyle w:val="ListParagraph"/>
        <w:numPr>
          <w:ilvl w:val="0"/>
          <w:numId w:val="28"/>
        </w:numPr>
        <w:spacing w:before="100" w:beforeAutospacing="1" w:after="100" w:afterAutospacing="1"/>
        <w:rPr>
          <w:szCs w:val="24"/>
          <w:lang w:val="fr-BE"/>
        </w:rPr>
      </w:pPr>
      <w:r w:rsidRPr="009A23CA">
        <w:rPr>
          <w:szCs w:val="24"/>
          <w:lang w:val="fr-BE"/>
        </w:rPr>
        <w:t>Engagement stratégique et technique avec les services de la Commission, les États membres de l’UE, les Délégations de l’UE et les partenaires de mise en œuvre sur la recherche et l’innovation (R&amp;I) agroalimentaire ainsi que sur les approches agroécologiques et circulaires dans le secteur agroalimentaire des pays partenaires de l’UE.</w:t>
      </w:r>
    </w:p>
    <w:p w14:paraId="6ED48E66" w14:textId="77777777" w:rsidR="009A23CA" w:rsidRDefault="009875D0" w:rsidP="009875D0">
      <w:pPr>
        <w:pStyle w:val="ListParagraph"/>
        <w:numPr>
          <w:ilvl w:val="0"/>
          <w:numId w:val="28"/>
        </w:numPr>
        <w:spacing w:before="100" w:beforeAutospacing="1" w:after="100" w:afterAutospacing="1"/>
        <w:rPr>
          <w:szCs w:val="24"/>
          <w:lang w:val="fr-BE"/>
        </w:rPr>
      </w:pPr>
      <w:r w:rsidRPr="009A23CA">
        <w:rPr>
          <w:szCs w:val="24"/>
          <w:lang w:val="fr-BE"/>
        </w:rPr>
        <w:t>Soutien aux interactions avec la DG INTPA et d’autres directions générales afin de coordonner les politiques et interventions en matière de R&amp;I dans les pays partenaires.</w:t>
      </w:r>
    </w:p>
    <w:p w14:paraId="1885A412" w14:textId="77777777" w:rsidR="009A23CA" w:rsidRDefault="009875D0" w:rsidP="009875D0">
      <w:pPr>
        <w:pStyle w:val="ListParagraph"/>
        <w:numPr>
          <w:ilvl w:val="0"/>
          <w:numId w:val="28"/>
        </w:numPr>
        <w:spacing w:before="100" w:beforeAutospacing="1" w:after="100" w:afterAutospacing="1"/>
        <w:rPr>
          <w:szCs w:val="24"/>
          <w:lang w:val="fr-BE"/>
        </w:rPr>
      </w:pPr>
      <w:r w:rsidRPr="009A23CA">
        <w:rPr>
          <w:szCs w:val="24"/>
          <w:lang w:val="fr-BE"/>
        </w:rPr>
        <w:t>Appui à la conception et à la gestion des activités de coopération, des projets et des programmes dans les pays partenaires, en collaboration avec les Délégations de l’UE et les partenaires de mise en œuvre, et en accord avec les approches agroécologiques et circulaires.</w:t>
      </w:r>
    </w:p>
    <w:p w14:paraId="708E743F" w14:textId="77777777" w:rsidR="009A23CA" w:rsidRDefault="009875D0" w:rsidP="009875D0">
      <w:pPr>
        <w:pStyle w:val="ListParagraph"/>
        <w:numPr>
          <w:ilvl w:val="0"/>
          <w:numId w:val="28"/>
        </w:numPr>
        <w:spacing w:before="100" w:beforeAutospacing="1" w:after="100" w:afterAutospacing="1"/>
        <w:rPr>
          <w:szCs w:val="24"/>
          <w:lang w:val="fr-BE"/>
        </w:rPr>
      </w:pPr>
      <w:r w:rsidRPr="009A23CA">
        <w:rPr>
          <w:szCs w:val="24"/>
          <w:lang w:val="fr-BE"/>
        </w:rPr>
        <w:t>Contribution au développement et à la gestion de programmes sur les chaînes de valeur agricoles durables et les systèmes alimentaires dans les pays partenaires de l’UE, en mettant l’accent sur les partenariats public-privé, les incitations (financières) et les financements innovants pour la R&amp;I dans le cadre de la stratégie Global Gateway.</w:t>
      </w:r>
    </w:p>
    <w:p w14:paraId="2A182C66" w14:textId="77777777" w:rsidR="009A23CA" w:rsidRDefault="009875D0" w:rsidP="009875D0">
      <w:pPr>
        <w:pStyle w:val="ListParagraph"/>
        <w:numPr>
          <w:ilvl w:val="0"/>
          <w:numId w:val="28"/>
        </w:numPr>
        <w:spacing w:before="100" w:beforeAutospacing="1" w:after="100" w:afterAutospacing="1"/>
        <w:rPr>
          <w:szCs w:val="24"/>
          <w:lang w:val="fr-BE"/>
        </w:rPr>
      </w:pPr>
      <w:r w:rsidRPr="009A23CA">
        <w:rPr>
          <w:szCs w:val="24"/>
          <w:lang w:val="fr-BE"/>
        </w:rPr>
        <w:t>Soutien à l’organisation d’événements politiques et techniques ainsi que de dialogues multipartites aux niveaux mondial, régional et local.</w:t>
      </w:r>
    </w:p>
    <w:p w14:paraId="16C0E785" w14:textId="5BDA37F6" w:rsidR="009875D0" w:rsidRPr="009A23CA" w:rsidRDefault="009A23CA" w:rsidP="009A23CA">
      <w:pPr>
        <w:pStyle w:val="ListParagraph"/>
        <w:numPr>
          <w:ilvl w:val="0"/>
          <w:numId w:val="28"/>
        </w:numPr>
        <w:spacing w:before="100" w:beforeAutospacing="1" w:after="100" w:afterAutospacing="1"/>
        <w:rPr>
          <w:szCs w:val="24"/>
          <w:lang w:val="fr-BE"/>
        </w:rPr>
      </w:pPr>
      <w:r w:rsidRPr="009A23CA">
        <w:rPr>
          <w:rFonts w:eastAsiaTheme="minorHAnsi"/>
          <w:szCs w:val="24"/>
          <w:lang w:eastAsia="en-US"/>
        </w:rPr>
        <w:t>Fournir un soutien ponctuel sur les dossiers pertinents relatifs aux chaînes de valeur agricoles et aux systèmes alimentaires</w:t>
      </w:r>
    </w:p>
    <w:p w14:paraId="649F9FB6" w14:textId="77777777" w:rsidR="009A23CA" w:rsidRPr="009A23CA" w:rsidRDefault="009A23CA" w:rsidP="009A23CA">
      <w:pPr>
        <w:pStyle w:val="ListParagraph"/>
        <w:spacing w:before="100" w:beforeAutospacing="1" w:after="100" w:afterAutospacing="1"/>
        <w:rPr>
          <w:szCs w:val="24"/>
          <w:lang w:val="fr-BE"/>
        </w:rPr>
      </w:pPr>
    </w:p>
    <w:p w14:paraId="69B92155" w14:textId="017E957D"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0274CBBA" w14:textId="77777777" w:rsidR="00336E41" w:rsidRPr="00336E41" w:rsidRDefault="00336E41" w:rsidP="00336E41">
      <w:pPr>
        <w:rPr>
          <w:i/>
          <w:iCs/>
        </w:rPr>
      </w:pPr>
      <w:r w:rsidRPr="00336E41">
        <w:rPr>
          <w:i/>
          <w:iCs/>
        </w:rPr>
        <w:t>Formation universitaire</w:t>
      </w:r>
    </w:p>
    <w:p w14:paraId="490E4AB2" w14:textId="77777777" w:rsidR="009875D0" w:rsidRPr="009875D0" w:rsidRDefault="009875D0" w:rsidP="009A23CA">
      <w:pPr>
        <w:spacing w:before="100" w:beforeAutospacing="1" w:after="100" w:afterAutospacing="1"/>
        <w:rPr>
          <w:szCs w:val="24"/>
          <w:lang w:val="fr-BE"/>
        </w:rPr>
      </w:pPr>
      <w:r w:rsidRPr="009875D0">
        <w:rPr>
          <w:szCs w:val="24"/>
          <w:lang w:val="fr-BE"/>
        </w:rPr>
        <w:t>De préférence niveau doctorat, ou au minimum un master ou équivalent en agronomie (y compris agroécologie ou agroforesterie) avec une spécialisation en développement (option privilégiée), ou en études environnementales, économie du développement, sociologie et/ou politiques publiques.</w:t>
      </w:r>
    </w:p>
    <w:p w14:paraId="44546342" w14:textId="1550C7AF" w:rsidR="009875D0" w:rsidRPr="009875D0" w:rsidRDefault="009875D0" w:rsidP="009875D0">
      <w:pPr>
        <w:spacing w:after="0"/>
        <w:jc w:val="left"/>
        <w:rPr>
          <w:szCs w:val="24"/>
          <w:lang w:val="fr-BE"/>
        </w:rPr>
      </w:pPr>
    </w:p>
    <w:p w14:paraId="026345BC" w14:textId="77777777" w:rsidR="009A23CA" w:rsidRDefault="009A23CA" w:rsidP="00336E41">
      <w:pPr>
        <w:rPr>
          <w:i/>
          <w:iCs/>
        </w:rPr>
      </w:pPr>
    </w:p>
    <w:p w14:paraId="314FD2F7" w14:textId="77777777" w:rsidR="009A23CA" w:rsidRDefault="009A23CA" w:rsidP="00336E41">
      <w:pPr>
        <w:rPr>
          <w:i/>
          <w:iCs/>
        </w:rPr>
      </w:pPr>
    </w:p>
    <w:p w14:paraId="19F71622" w14:textId="35770035" w:rsidR="00336E41" w:rsidRPr="00336E41" w:rsidRDefault="00336E41" w:rsidP="00336E41">
      <w:pPr>
        <w:rPr>
          <w:i/>
          <w:iCs/>
        </w:rPr>
      </w:pPr>
      <w:r w:rsidRPr="00336E41">
        <w:rPr>
          <w:i/>
          <w:iCs/>
        </w:rPr>
        <w:lastRenderedPageBreak/>
        <w:t>Connaissances et expérience professionnelle requises</w:t>
      </w:r>
    </w:p>
    <w:p w14:paraId="3CB119D6" w14:textId="56B7AA00" w:rsidR="009A23CA" w:rsidRPr="007849D3" w:rsidRDefault="009A23CA" w:rsidP="007849D3">
      <w:pPr>
        <w:pStyle w:val="ListParagraph"/>
        <w:numPr>
          <w:ilvl w:val="0"/>
          <w:numId w:val="30"/>
        </w:numPr>
        <w:spacing w:before="100" w:beforeAutospacing="1" w:after="100" w:afterAutospacing="1"/>
        <w:jc w:val="left"/>
        <w:rPr>
          <w:szCs w:val="24"/>
          <w:lang w:val="fr-BE"/>
        </w:rPr>
      </w:pPr>
      <w:r w:rsidRPr="007849D3">
        <w:rPr>
          <w:szCs w:val="24"/>
          <w:lang w:val="fr-BE"/>
        </w:rPr>
        <w:t>Minimum de 3 à 5 ans d’expérience professionnelle pertinente requis ;</w:t>
      </w:r>
    </w:p>
    <w:p w14:paraId="716E0A36" w14:textId="77777777" w:rsidR="009A23CA" w:rsidRDefault="009A23CA" w:rsidP="009A23CA">
      <w:pPr>
        <w:pStyle w:val="ListParagraph"/>
        <w:numPr>
          <w:ilvl w:val="0"/>
          <w:numId w:val="29"/>
        </w:numPr>
        <w:spacing w:before="100" w:beforeAutospacing="1" w:after="100" w:afterAutospacing="1"/>
        <w:rPr>
          <w:szCs w:val="24"/>
          <w:lang w:val="fr-BE"/>
        </w:rPr>
      </w:pPr>
      <w:r w:rsidRPr="009A23CA">
        <w:rPr>
          <w:szCs w:val="24"/>
          <w:lang w:val="fr-BE"/>
        </w:rPr>
        <w:t>Connaissances et expérience des enjeux du développement (processus d’innovation, approches participatives, dialogue politique, etc.) ;</w:t>
      </w:r>
    </w:p>
    <w:p w14:paraId="783A538D" w14:textId="77777777" w:rsidR="009A23CA" w:rsidRDefault="009A23CA" w:rsidP="009A23CA">
      <w:pPr>
        <w:pStyle w:val="ListParagraph"/>
        <w:numPr>
          <w:ilvl w:val="0"/>
          <w:numId w:val="29"/>
        </w:numPr>
        <w:spacing w:before="100" w:beforeAutospacing="1" w:after="100" w:afterAutospacing="1"/>
        <w:rPr>
          <w:szCs w:val="24"/>
          <w:lang w:val="fr-BE"/>
        </w:rPr>
      </w:pPr>
      <w:r w:rsidRPr="009A23CA">
        <w:rPr>
          <w:szCs w:val="24"/>
          <w:lang w:val="fr-BE"/>
        </w:rPr>
        <w:t>Connaissances et expérience des approches en recherche et innovation (R&amp;I) ;</w:t>
      </w:r>
    </w:p>
    <w:p w14:paraId="53949362" w14:textId="77777777" w:rsidR="009A23CA" w:rsidRDefault="009A23CA" w:rsidP="009A23CA">
      <w:pPr>
        <w:pStyle w:val="ListParagraph"/>
        <w:numPr>
          <w:ilvl w:val="0"/>
          <w:numId w:val="29"/>
        </w:numPr>
        <w:spacing w:before="100" w:beforeAutospacing="1" w:after="100" w:afterAutospacing="1"/>
        <w:rPr>
          <w:szCs w:val="24"/>
          <w:lang w:val="fr-BE"/>
        </w:rPr>
      </w:pPr>
      <w:r w:rsidRPr="009A23CA">
        <w:rPr>
          <w:szCs w:val="24"/>
          <w:lang w:val="fr-BE"/>
        </w:rPr>
        <w:t>Expérience dans le développement international (R&amp;I, politiques environnementales/climatiques/agricoles) ;</w:t>
      </w:r>
    </w:p>
    <w:p w14:paraId="55B92BDB" w14:textId="03FE7329" w:rsidR="009A23CA" w:rsidRPr="009A23CA" w:rsidRDefault="009A23CA" w:rsidP="009A23CA">
      <w:pPr>
        <w:pStyle w:val="ListParagraph"/>
        <w:numPr>
          <w:ilvl w:val="0"/>
          <w:numId w:val="29"/>
        </w:numPr>
        <w:spacing w:before="100" w:beforeAutospacing="1" w:after="100" w:afterAutospacing="1"/>
        <w:rPr>
          <w:szCs w:val="24"/>
          <w:lang w:val="fr-BE"/>
        </w:rPr>
      </w:pPr>
      <w:r w:rsidRPr="009A23CA">
        <w:rPr>
          <w:szCs w:val="24"/>
          <w:lang w:val="fr-BE"/>
        </w:rPr>
        <w:t>Une expérience de terrain dans les pays en développement serait un atout majeur.</w:t>
      </w:r>
    </w:p>
    <w:p w14:paraId="097FBF3F" w14:textId="77777777" w:rsidR="009A23CA" w:rsidRDefault="009A23CA" w:rsidP="009A23CA">
      <w:pPr>
        <w:rPr>
          <w:i/>
          <w:iCs/>
        </w:rPr>
      </w:pPr>
    </w:p>
    <w:p w14:paraId="4EB88808" w14:textId="05E6FCE0" w:rsidR="00336E41" w:rsidRPr="00336E41" w:rsidRDefault="00336E41" w:rsidP="00336E41">
      <w:pPr>
        <w:rPr>
          <w:i/>
          <w:iCs/>
        </w:rPr>
      </w:pPr>
      <w:r w:rsidRPr="00336E41">
        <w:rPr>
          <w:i/>
          <w:iCs/>
        </w:rPr>
        <w:t>Compétences linguistiques</w:t>
      </w:r>
    </w:p>
    <w:p w14:paraId="5D76C15C" w14:textId="184767B6" w:rsidR="00F65CC2" w:rsidRDefault="00336E41" w:rsidP="00336E41">
      <w:r w:rsidRPr="00336E41">
        <w:t>Maîtrise orale et écrite de l'anglais et du français requise (niveau C1 minimum). D'autres compétences linguistiques peuvent être un avantage.</w:t>
      </w:r>
    </w:p>
    <w:p w14:paraId="780F835B" w14:textId="77777777" w:rsidR="00336E41" w:rsidRPr="00336E41" w:rsidRDefault="00336E41" w:rsidP="00336E41">
      <w:pPr>
        <w:rPr>
          <w:b/>
          <w:lang w:eastAsia="en-GB"/>
        </w:rPr>
      </w:pPr>
    </w:p>
    <w:p w14:paraId="0E0736C5" w14:textId="0F8C254A" w:rsidR="00B31DC8" w:rsidRPr="00092BC7" w:rsidRDefault="00377580" w:rsidP="00377580">
      <w:pPr>
        <w:rPr>
          <w:b/>
          <w:u w:val="single"/>
          <w:lang w:val="fr-BE" w:eastAsia="en-GB"/>
        </w:rPr>
      </w:pPr>
      <w:r w:rsidRPr="00092BC7">
        <w:rPr>
          <w:b/>
          <w:u w:val="single"/>
          <w:lang w:val="fr-BE" w:eastAsia="en-GB"/>
        </w:rPr>
        <w:t>Critères d</w:t>
      </w:r>
      <w:r w:rsidR="006F23BA" w:rsidRPr="00092BC7">
        <w:rPr>
          <w:b/>
          <w:u w:val="single"/>
          <w:lang w:val="fr-BE" w:eastAsia="en-GB"/>
        </w:rPr>
        <w:t>’</w:t>
      </w:r>
      <w:r w:rsidRPr="00092BC7">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270B1747" w14:textId="77777777" w:rsidR="007849D3" w:rsidRDefault="007849D3" w:rsidP="00377580">
      <w:pPr>
        <w:rPr>
          <w:lang w:val="fr-BE" w:eastAsia="en-GB"/>
        </w:rPr>
      </w:pPr>
    </w:p>
    <w:p w14:paraId="6E30E470" w14:textId="77777777" w:rsidR="007849D3" w:rsidRPr="001D3EEC" w:rsidRDefault="007849D3"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5547424"/>
    <w:lvl w:ilvl="0">
      <w:start w:val="1"/>
      <w:numFmt w:val="decimal"/>
      <w:lvlText w:val="%1."/>
      <w:lvlJc w:val="left"/>
      <w:pPr>
        <w:tabs>
          <w:tab w:val="num" w:pos="360"/>
        </w:tabs>
        <w:ind w:left="360" w:hanging="360"/>
      </w:pPr>
    </w:lvl>
  </w:abstractNum>
  <w:abstractNum w:abstractNumId="1" w15:restartNumberingAfterBreak="0">
    <w:nsid w:val="00806ED0"/>
    <w:multiLevelType w:val="hybridMultilevel"/>
    <w:tmpl w:val="20E8BB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CFF4BC5"/>
    <w:multiLevelType w:val="hybridMultilevel"/>
    <w:tmpl w:val="31D069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3875D46"/>
    <w:multiLevelType w:val="hybridMultilevel"/>
    <w:tmpl w:val="29DA0D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9AD546B"/>
    <w:multiLevelType w:val="hybridMultilevel"/>
    <w:tmpl w:val="2B1AF594"/>
    <w:lvl w:ilvl="0" w:tplc="CB8AF674">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5"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6"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9"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2"/>
  </w:num>
  <w:num w:numId="2" w16cid:durableId="1948195848">
    <w:abstractNumId w:val="15"/>
  </w:num>
  <w:num w:numId="3" w16cid:durableId="1283655466">
    <w:abstractNumId w:val="11"/>
  </w:num>
  <w:num w:numId="4" w16cid:durableId="627203124">
    <w:abstractNumId w:val="16"/>
  </w:num>
  <w:num w:numId="5" w16cid:durableId="1682463701">
    <w:abstractNumId w:val="22"/>
  </w:num>
  <w:num w:numId="6" w16cid:durableId="181284729">
    <w:abstractNumId w:val="26"/>
  </w:num>
  <w:num w:numId="7" w16cid:durableId="1703705955">
    <w:abstractNumId w:val="4"/>
  </w:num>
  <w:num w:numId="8" w16cid:durableId="1191845979">
    <w:abstractNumId w:val="10"/>
  </w:num>
  <w:num w:numId="9" w16cid:durableId="317001864">
    <w:abstractNumId w:val="19"/>
  </w:num>
  <w:num w:numId="10" w16cid:durableId="1149245481">
    <w:abstractNumId w:val="5"/>
  </w:num>
  <w:num w:numId="11" w16cid:durableId="1423138251">
    <w:abstractNumId w:val="7"/>
  </w:num>
  <w:num w:numId="12" w16cid:durableId="1835801341">
    <w:abstractNumId w:val="9"/>
  </w:num>
  <w:num w:numId="13" w16cid:durableId="773790429">
    <w:abstractNumId w:val="12"/>
  </w:num>
  <w:num w:numId="14" w16cid:durableId="440151463">
    <w:abstractNumId w:val="18"/>
  </w:num>
  <w:num w:numId="15" w16cid:durableId="1021391429">
    <w:abstractNumId w:val="21"/>
  </w:num>
  <w:num w:numId="16" w16cid:durableId="1891763309">
    <w:abstractNumId w:val="27"/>
  </w:num>
  <w:num w:numId="17" w16cid:durableId="359092911">
    <w:abstractNumId w:val="13"/>
  </w:num>
  <w:num w:numId="18" w16cid:durableId="308289900">
    <w:abstractNumId w:val="14"/>
  </w:num>
  <w:num w:numId="19" w16cid:durableId="1964581914">
    <w:abstractNumId w:val="28"/>
  </w:num>
  <w:num w:numId="20" w16cid:durableId="263345260">
    <w:abstractNumId w:val="20"/>
  </w:num>
  <w:num w:numId="21" w16cid:durableId="710300249">
    <w:abstractNumId w:val="23"/>
  </w:num>
  <w:num w:numId="22" w16cid:durableId="1059403124">
    <w:abstractNumId w:val="6"/>
  </w:num>
  <w:num w:numId="23" w16cid:durableId="482745588">
    <w:abstractNumId w:val="24"/>
  </w:num>
  <w:num w:numId="24" w16cid:durableId="1895769187">
    <w:abstractNumId w:val="25"/>
  </w:num>
  <w:num w:numId="25" w16cid:durableId="681978231">
    <w:abstractNumId w:val="29"/>
  </w:num>
  <w:num w:numId="26" w16cid:durableId="499350672">
    <w:abstractNumId w:val="17"/>
  </w:num>
  <w:num w:numId="27" w16cid:durableId="1333532507">
    <w:abstractNumId w:val="0"/>
  </w:num>
  <w:num w:numId="28" w16cid:durableId="1370302689">
    <w:abstractNumId w:val="1"/>
  </w:num>
  <w:num w:numId="29" w16cid:durableId="2085905611">
    <w:abstractNumId w:val="3"/>
  </w:num>
  <w:num w:numId="30" w16cid:durableId="15937760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PT"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87ADD"/>
    <w:rsid w:val="000914BF"/>
    <w:rsid w:val="00092BC7"/>
    <w:rsid w:val="00097587"/>
    <w:rsid w:val="001A0074"/>
    <w:rsid w:val="001A36BC"/>
    <w:rsid w:val="001A39DE"/>
    <w:rsid w:val="001D3EEC"/>
    <w:rsid w:val="00215A56"/>
    <w:rsid w:val="00237B41"/>
    <w:rsid w:val="002450A0"/>
    <w:rsid w:val="0028413D"/>
    <w:rsid w:val="002841B7"/>
    <w:rsid w:val="002A6E30"/>
    <w:rsid w:val="002B37EB"/>
    <w:rsid w:val="00301CA3"/>
    <w:rsid w:val="00336E41"/>
    <w:rsid w:val="00377580"/>
    <w:rsid w:val="00394581"/>
    <w:rsid w:val="00443957"/>
    <w:rsid w:val="00446AC7"/>
    <w:rsid w:val="00462268"/>
    <w:rsid w:val="004A4BB7"/>
    <w:rsid w:val="004B692C"/>
    <w:rsid w:val="004D3B51"/>
    <w:rsid w:val="005324EC"/>
    <w:rsid w:val="0053405E"/>
    <w:rsid w:val="00556CBD"/>
    <w:rsid w:val="00653958"/>
    <w:rsid w:val="006A1CB2"/>
    <w:rsid w:val="006B47B6"/>
    <w:rsid w:val="006F23BA"/>
    <w:rsid w:val="0074301E"/>
    <w:rsid w:val="007649B3"/>
    <w:rsid w:val="007849D3"/>
    <w:rsid w:val="007A10AA"/>
    <w:rsid w:val="007A1396"/>
    <w:rsid w:val="007B5FAE"/>
    <w:rsid w:val="007E131B"/>
    <w:rsid w:val="007E4F35"/>
    <w:rsid w:val="008241B0"/>
    <w:rsid w:val="008315CD"/>
    <w:rsid w:val="00866A06"/>
    <w:rsid w:val="00866E7F"/>
    <w:rsid w:val="008A0FF3"/>
    <w:rsid w:val="009025FA"/>
    <w:rsid w:val="0092295D"/>
    <w:rsid w:val="009875D0"/>
    <w:rsid w:val="009A23CA"/>
    <w:rsid w:val="00A65B97"/>
    <w:rsid w:val="00A917BE"/>
    <w:rsid w:val="00B31DC8"/>
    <w:rsid w:val="00B566C1"/>
    <w:rsid w:val="00B57BAF"/>
    <w:rsid w:val="00B72AA6"/>
    <w:rsid w:val="00BF389A"/>
    <w:rsid w:val="00C518F5"/>
    <w:rsid w:val="00D703FC"/>
    <w:rsid w:val="00D82B48"/>
    <w:rsid w:val="00DC5C83"/>
    <w:rsid w:val="00E0579E"/>
    <w:rsid w:val="00E5708E"/>
    <w:rsid w:val="00E850B7"/>
    <w:rsid w:val="00E927FE"/>
    <w:rsid w:val="00F65CC2"/>
    <w:rsid w:val="233D85CB"/>
    <w:rsid w:val="3011C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9A2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06621">
      <w:bodyDiv w:val="1"/>
      <w:marLeft w:val="0"/>
      <w:marRight w:val="0"/>
      <w:marTop w:val="0"/>
      <w:marBottom w:val="0"/>
      <w:divBdr>
        <w:top w:val="none" w:sz="0" w:space="0" w:color="auto"/>
        <w:left w:val="none" w:sz="0" w:space="0" w:color="auto"/>
        <w:bottom w:val="none" w:sz="0" w:space="0" w:color="auto"/>
        <w:right w:val="none" w:sz="0" w:space="0" w:color="auto"/>
      </w:divBdr>
    </w:div>
    <w:div w:id="494565803">
      <w:bodyDiv w:val="1"/>
      <w:marLeft w:val="0"/>
      <w:marRight w:val="0"/>
      <w:marTop w:val="0"/>
      <w:marBottom w:val="0"/>
      <w:divBdr>
        <w:top w:val="none" w:sz="0" w:space="0" w:color="auto"/>
        <w:left w:val="none" w:sz="0" w:space="0" w:color="auto"/>
        <w:bottom w:val="none" w:sz="0" w:space="0" w:color="auto"/>
        <w:right w:val="none" w:sz="0" w:space="0" w:color="auto"/>
      </w:divBdr>
      <w:divsChild>
        <w:div w:id="589122182">
          <w:marLeft w:val="0"/>
          <w:marRight w:val="0"/>
          <w:marTop w:val="0"/>
          <w:marBottom w:val="0"/>
          <w:divBdr>
            <w:top w:val="none" w:sz="0" w:space="0" w:color="auto"/>
            <w:left w:val="none" w:sz="0" w:space="0" w:color="auto"/>
            <w:bottom w:val="none" w:sz="0" w:space="0" w:color="auto"/>
            <w:right w:val="none" w:sz="0" w:space="0" w:color="auto"/>
          </w:divBdr>
          <w:divsChild>
            <w:div w:id="898594598">
              <w:marLeft w:val="0"/>
              <w:marRight w:val="0"/>
              <w:marTop w:val="0"/>
              <w:marBottom w:val="0"/>
              <w:divBdr>
                <w:top w:val="none" w:sz="0" w:space="0" w:color="auto"/>
                <w:left w:val="none" w:sz="0" w:space="0" w:color="auto"/>
                <w:bottom w:val="none" w:sz="0" w:space="0" w:color="auto"/>
                <w:right w:val="none" w:sz="0" w:space="0" w:color="auto"/>
              </w:divBdr>
              <w:divsChild>
                <w:div w:id="1042559291">
                  <w:marLeft w:val="0"/>
                  <w:marRight w:val="0"/>
                  <w:marTop w:val="0"/>
                  <w:marBottom w:val="0"/>
                  <w:divBdr>
                    <w:top w:val="none" w:sz="0" w:space="0" w:color="auto"/>
                    <w:left w:val="none" w:sz="0" w:space="0" w:color="auto"/>
                    <w:bottom w:val="none" w:sz="0" w:space="0" w:color="auto"/>
                    <w:right w:val="none" w:sz="0" w:space="0" w:color="auto"/>
                  </w:divBdr>
                  <w:divsChild>
                    <w:div w:id="576786184">
                      <w:marLeft w:val="0"/>
                      <w:marRight w:val="0"/>
                      <w:marTop w:val="0"/>
                      <w:marBottom w:val="0"/>
                      <w:divBdr>
                        <w:top w:val="none" w:sz="0" w:space="0" w:color="auto"/>
                        <w:left w:val="none" w:sz="0" w:space="0" w:color="auto"/>
                        <w:bottom w:val="none" w:sz="0" w:space="0" w:color="auto"/>
                        <w:right w:val="none" w:sz="0" w:space="0" w:color="auto"/>
                      </w:divBdr>
                      <w:divsChild>
                        <w:div w:id="638799331">
                          <w:marLeft w:val="0"/>
                          <w:marRight w:val="0"/>
                          <w:marTop w:val="0"/>
                          <w:marBottom w:val="0"/>
                          <w:divBdr>
                            <w:top w:val="none" w:sz="0" w:space="0" w:color="auto"/>
                            <w:left w:val="none" w:sz="0" w:space="0" w:color="auto"/>
                            <w:bottom w:val="none" w:sz="0" w:space="0" w:color="auto"/>
                            <w:right w:val="none" w:sz="0" w:space="0" w:color="auto"/>
                          </w:divBdr>
                          <w:divsChild>
                            <w:div w:id="262760333">
                              <w:marLeft w:val="0"/>
                              <w:marRight w:val="0"/>
                              <w:marTop w:val="0"/>
                              <w:marBottom w:val="0"/>
                              <w:divBdr>
                                <w:top w:val="none" w:sz="0" w:space="0" w:color="auto"/>
                                <w:left w:val="none" w:sz="0" w:space="0" w:color="auto"/>
                                <w:bottom w:val="none" w:sz="0" w:space="0" w:color="auto"/>
                                <w:right w:val="none" w:sz="0" w:space="0" w:color="auto"/>
                              </w:divBdr>
                              <w:divsChild>
                                <w:div w:id="1813786451">
                                  <w:marLeft w:val="0"/>
                                  <w:marRight w:val="0"/>
                                  <w:marTop w:val="0"/>
                                  <w:marBottom w:val="0"/>
                                  <w:divBdr>
                                    <w:top w:val="none" w:sz="0" w:space="0" w:color="auto"/>
                                    <w:left w:val="none" w:sz="0" w:space="0" w:color="auto"/>
                                    <w:bottom w:val="none" w:sz="0" w:space="0" w:color="auto"/>
                                    <w:right w:val="none" w:sz="0" w:space="0" w:color="auto"/>
                                  </w:divBdr>
                                  <w:divsChild>
                                    <w:div w:id="19400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903312">
                          <w:marLeft w:val="0"/>
                          <w:marRight w:val="0"/>
                          <w:marTop w:val="0"/>
                          <w:marBottom w:val="0"/>
                          <w:divBdr>
                            <w:top w:val="none" w:sz="0" w:space="0" w:color="auto"/>
                            <w:left w:val="none" w:sz="0" w:space="0" w:color="auto"/>
                            <w:bottom w:val="none" w:sz="0" w:space="0" w:color="auto"/>
                            <w:right w:val="none" w:sz="0" w:space="0" w:color="auto"/>
                          </w:divBdr>
                          <w:divsChild>
                            <w:div w:id="236327361">
                              <w:marLeft w:val="0"/>
                              <w:marRight w:val="0"/>
                              <w:marTop w:val="0"/>
                              <w:marBottom w:val="0"/>
                              <w:divBdr>
                                <w:top w:val="none" w:sz="0" w:space="0" w:color="auto"/>
                                <w:left w:val="none" w:sz="0" w:space="0" w:color="auto"/>
                                <w:bottom w:val="none" w:sz="0" w:space="0" w:color="auto"/>
                                <w:right w:val="none" w:sz="0" w:space="0" w:color="auto"/>
                              </w:divBdr>
                              <w:divsChild>
                                <w:div w:id="70506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513194">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70228004">
      <w:bodyDiv w:val="1"/>
      <w:marLeft w:val="0"/>
      <w:marRight w:val="0"/>
      <w:marTop w:val="0"/>
      <w:marBottom w:val="0"/>
      <w:divBdr>
        <w:top w:val="none" w:sz="0" w:space="0" w:color="auto"/>
        <w:left w:val="none" w:sz="0" w:space="0" w:color="auto"/>
        <w:bottom w:val="none" w:sz="0" w:space="0" w:color="auto"/>
        <w:right w:val="none" w:sz="0" w:space="0" w:color="auto"/>
      </w:divBdr>
    </w:div>
    <w:div w:id="1080755160">
      <w:bodyDiv w:val="1"/>
      <w:marLeft w:val="0"/>
      <w:marRight w:val="0"/>
      <w:marTop w:val="0"/>
      <w:marBottom w:val="0"/>
      <w:divBdr>
        <w:top w:val="none" w:sz="0" w:space="0" w:color="auto"/>
        <w:left w:val="none" w:sz="0" w:space="0" w:color="auto"/>
        <w:bottom w:val="none" w:sz="0" w:space="0" w:color="auto"/>
        <w:right w:val="none" w:sz="0" w:space="0" w:color="auto"/>
      </w:divBdr>
    </w:div>
    <w:div w:id="1414548652">
      <w:bodyDiv w:val="1"/>
      <w:marLeft w:val="0"/>
      <w:marRight w:val="0"/>
      <w:marTop w:val="0"/>
      <w:marBottom w:val="0"/>
      <w:divBdr>
        <w:top w:val="none" w:sz="0" w:space="0" w:color="auto"/>
        <w:left w:val="none" w:sz="0" w:space="0" w:color="auto"/>
        <w:bottom w:val="none" w:sz="0" w:space="0" w:color="auto"/>
        <w:right w:val="none" w:sz="0" w:space="0" w:color="auto"/>
      </w:divBdr>
    </w:div>
    <w:div w:id="1426804387">
      <w:bodyDiv w:val="1"/>
      <w:marLeft w:val="0"/>
      <w:marRight w:val="0"/>
      <w:marTop w:val="0"/>
      <w:marBottom w:val="0"/>
      <w:divBdr>
        <w:top w:val="none" w:sz="0" w:space="0" w:color="auto"/>
        <w:left w:val="none" w:sz="0" w:space="0" w:color="auto"/>
        <w:bottom w:val="none" w:sz="0" w:space="0" w:color="auto"/>
        <w:right w:val="none" w:sz="0" w:space="0" w:color="auto"/>
      </w:divBdr>
      <w:divsChild>
        <w:div w:id="1253008840">
          <w:marLeft w:val="0"/>
          <w:marRight w:val="0"/>
          <w:marTop w:val="0"/>
          <w:marBottom w:val="0"/>
          <w:divBdr>
            <w:top w:val="none" w:sz="0" w:space="0" w:color="auto"/>
            <w:left w:val="none" w:sz="0" w:space="0" w:color="auto"/>
            <w:bottom w:val="none" w:sz="0" w:space="0" w:color="auto"/>
            <w:right w:val="none" w:sz="0" w:space="0" w:color="auto"/>
          </w:divBdr>
          <w:divsChild>
            <w:div w:id="264072735">
              <w:marLeft w:val="0"/>
              <w:marRight w:val="0"/>
              <w:marTop w:val="0"/>
              <w:marBottom w:val="0"/>
              <w:divBdr>
                <w:top w:val="none" w:sz="0" w:space="0" w:color="auto"/>
                <w:left w:val="none" w:sz="0" w:space="0" w:color="auto"/>
                <w:bottom w:val="none" w:sz="0" w:space="0" w:color="auto"/>
                <w:right w:val="none" w:sz="0" w:space="0" w:color="auto"/>
              </w:divBdr>
              <w:divsChild>
                <w:div w:id="494414524">
                  <w:marLeft w:val="0"/>
                  <w:marRight w:val="0"/>
                  <w:marTop w:val="0"/>
                  <w:marBottom w:val="0"/>
                  <w:divBdr>
                    <w:top w:val="none" w:sz="0" w:space="0" w:color="auto"/>
                    <w:left w:val="none" w:sz="0" w:space="0" w:color="auto"/>
                    <w:bottom w:val="none" w:sz="0" w:space="0" w:color="auto"/>
                    <w:right w:val="none" w:sz="0" w:space="0" w:color="auto"/>
                  </w:divBdr>
                  <w:divsChild>
                    <w:div w:id="1816137690">
                      <w:marLeft w:val="0"/>
                      <w:marRight w:val="0"/>
                      <w:marTop w:val="0"/>
                      <w:marBottom w:val="0"/>
                      <w:divBdr>
                        <w:top w:val="none" w:sz="0" w:space="0" w:color="auto"/>
                        <w:left w:val="none" w:sz="0" w:space="0" w:color="auto"/>
                        <w:bottom w:val="none" w:sz="0" w:space="0" w:color="auto"/>
                        <w:right w:val="none" w:sz="0" w:space="0" w:color="auto"/>
                      </w:divBdr>
                      <w:divsChild>
                        <w:div w:id="842205828">
                          <w:marLeft w:val="0"/>
                          <w:marRight w:val="0"/>
                          <w:marTop w:val="0"/>
                          <w:marBottom w:val="0"/>
                          <w:divBdr>
                            <w:top w:val="none" w:sz="0" w:space="0" w:color="auto"/>
                            <w:left w:val="none" w:sz="0" w:space="0" w:color="auto"/>
                            <w:bottom w:val="none" w:sz="0" w:space="0" w:color="auto"/>
                            <w:right w:val="none" w:sz="0" w:space="0" w:color="auto"/>
                          </w:divBdr>
                          <w:divsChild>
                            <w:div w:id="268440495">
                              <w:marLeft w:val="0"/>
                              <w:marRight w:val="0"/>
                              <w:marTop w:val="0"/>
                              <w:marBottom w:val="0"/>
                              <w:divBdr>
                                <w:top w:val="none" w:sz="0" w:space="0" w:color="auto"/>
                                <w:left w:val="none" w:sz="0" w:space="0" w:color="auto"/>
                                <w:bottom w:val="none" w:sz="0" w:space="0" w:color="auto"/>
                                <w:right w:val="none" w:sz="0" w:space="0" w:color="auto"/>
                              </w:divBdr>
                              <w:divsChild>
                                <w:div w:id="960457349">
                                  <w:marLeft w:val="0"/>
                                  <w:marRight w:val="0"/>
                                  <w:marTop w:val="0"/>
                                  <w:marBottom w:val="0"/>
                                  <w:divBdr>
                                    <w:top w:val="none" w:sz="0" w:space="0" w:color="auto"/>
                                    <w:left w:val="none" w:sz="0" w:space="0" w:color="auto"/>
                                    <w:bottom w:val="none" w:sz="0" w:space="0" w:color="auto"/>
                                    <w:right w:val="none" w:sz="0" w:space="0" w:color="auto"/>
                                  </w:divBdr>
                                  <w:divsChild>
                                    <w:div w:id="7724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044291">
                          <w:marLeft w:val="0"/>
                          <w:marRight w:val="0"/>
                          <w:marTop w:val="0"/>
                          <w:marBottom w:val="0"/>
                          <w:divBdr>
                            <w:top w:val="none" w:sz="0" w:space="0" w:color="auto"/>
                            <w:left w:val="none" w:sz="0" w:space="0" w:color="auto"/>
                            <w:bottom w:val="none" w:sz="0" w:space="0" w:color="auto"/>
                            <w:right w:val="none" w:sz="0" w:space="0" w:color="auto"/>
                          </w:divBdr>
                          <w:divsChild>
                            <w:div w:id="1653560578">
                              <w:marLeft w:val="0"/>
                              <w:marRight w:val="0"/>
                              <w:marTop w:val="0"/>
                              <w:marBottom w:val="0"/>
                              <w:divBdr>
                                <w:top w:val="none" w:sz="0" w:space="0" w:color="auto"/>
                                <w:left w:val="none" w:sz="0" w:space="0" w:color="auto"/>
                                <w:bottom w:val="none" w:sz="0" w:space="0" w:color="auto"/>
                                <w:right w:val="none" w:sz="0" w:space="0" w:color="auto"/>
                              </w:divBdr>
                              <w:divsChild>
                                <w:div w:id="20432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97637952">
      <w:bodyDiv w:val="1"/>
      <w:marLeft w:val="0"/>
      <w:marRight w:val="0"/>
      <w:marTop w:val="0"/>
      <w:marBottom w:val="0"/>
      <w:divBdr>
        <w:top w:val="none" w:sz="0" w:space="0" w:color="auto"/>
        <w:left w:val="none" w:sz="0" w:space="0" w:color="auto"/>
        <w:bottom w:val="none" w:sz="0" w:space="0" w:color="auto"/>
        <w:right w:val="none" w:sz="0" w:space="0" w:color="auto"/>
      </w:divBdr>
    </w:div>
    <w:div w:id="1696035844">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146776350">
      <w:bodyDiv w:val="1"/>
      <w:marLeft w:val="0"/>
      <w:marRight w:val="0"/>
      <w:marTop w:val="0"/>
      <w:marBottom w:val="0"/>
      <w:divBdr>
        <w:top w:val="none" w:sz="0" w:space="0" w:color="auto"/>
        <w:left w:val="none" w:sz="0" w:space="0" w:color="auto"/>
        <w:bottom w:val="none" w:sz="0" w:space="0" w:color="auto"/>
        <w:right w:val="none" w:sz="0" w:space="0" w:color="auto"/>
      </w:divBdr>
      <w:divsChild>
        <w:div w:id="1293944599">
          <w:marLeft w:val="0"/>
          <w:marRight w:val="0"/>
          <w:marTop w:val="0"/>
          <w:marBottom w:val="0"/>
          <w:divBdr>
            <w:top w:val="none" w:sz="0" w:space="0" w:color="auto"/>
            <w:left w:val="none" w:sz="0" w:space="0" w:color="auto"/>
            <w:bottom w:val="none" w:sz="0" w:space="0" w:color="auto"/>
            <w:right w:val="none" w:sz="0" w:space="0" w:color="auto"/>
          </w:divBdr>
          <w:divsChild>
            <w:div w:id="1443380690">
              <w:marLeft w:val="0"/>
              <w:marRight w:val="0"/>
              <w:marTop w:val="0"/>
              <w:marBottom w:val="0"/>
              <w:divBdr>
                <w:top w:val="none" w:sz="0" w:space="0" w:color="auto"/>
                <w:left w:val="none" w:sz="0" w:space="0" w:color="auto"/>
                <w:bottom w:val="none" w:sz="0" w:space="0" w:color="auto"/>
                <w:right w:val="none" w:sz="0" w:space="0" w:color="auto"/>
              </w:divBdr>
              <w:divsChild>
                <w:div w:id="6565036">
                  <w:marLeft w:val="0"/>
                  <w:marRight w:val="0"/>
                  <w:marTop w:val="0"/>
                  <w:marBottom w:val="0"/>
                  <w:divBdr>
                    <w:top w:val="none" w:sz="0" w:space="0" w:color="auto"/>
                    <w:left w:val="none" w:sz="0" w:space="0" w:color="auto"/>
                    <w:bottom w:val="none" w:sz="0" w:space="0" w:color="auto"/>
                    <w:right w:val="none" w:sz="0" w:space="0" w:color="auto"/>
                  </w:divBdr>
                  <w:divsChild>
                    <w:div w:id="6447861">
                      <w:marLeft w:val="0"/>
                      <w:marRight w:val="0"/>
                      <w:marTop w:val="0"/>
                      <w:marBottom w:val="0"/>
                      <w:divBdr>
                        <w:top w:val="none" w:sz="0" w:space="0" w:color="auto"/>
                        <w:left w:val="none" w:sz="0" w:space="0" w:color="auto"/>
                        <w:bottom w:val="none" w:sz="0" w:space="0" w:color="auto"/>
                        <w:right w:val="none" w:sz="0" w:space="0" w:color="auto"/>
                      </w:divBdr>
                      <w:divsChild>
                        <w:div w:id="359161343">
                          <w:marLeft w:val="0"/>
                          <w:marRight w:val="0"/>
                          <w:marTop w:val="0"/>
                          <w:marBottom w:val="0"/>
                          <w:divBdr>
                            <w:top w:val="none" w:sz="0" w:space="0" w:color="auto"/>
                            <w:left w:val="none" w:sz="0" w:space="0" w:color="auto"/>
                            <w:bottom w:val="none" w:sz="0" w:space="0" w:color="auto"/>
                            <w:right w:val="none" w:sz="0" w:space="0" w:color="auto"/>
                          </w:divBdr>
                          <w:divsChild>
                            <w:div w:id="1783301181">
                              <w:marLeft w:val="0"/>
                              <w:marRight w:val="0"/>
                              <w:marTop w:val="0"/>
                              <w:marBottom w:val="0"/>
                              <w:divBdr>
                                <w:top w:val="none" w:sz="0" w:space="0" w:color="auto"/>
                                <w:left w:val="none" w:sz="0" w:space="0" w:color="auto"/>
                                <w:bottom w:val="none" w:sz="0" w:space="0" w:color="auto"/>
                                <w:right w:val="none" w:sz="0" w:space="0" w:color="auto"/>
                              </w:divBdr>
                              <w:divsChild>
                                <w:div w:id="1588147290">
                                  <w:marLeft w:val="0"/>
                                  <w:marRight w:val="0"/>
                                  <w:marTop w:val="0"/>
                                  <w:marBottom w:val="0"/>
                                  <w:divBdr>
                                    <w:top w:val="none" w:sz="0" w:space="0" w:color="auto"/>
                                    <w:left w:val="none" w:sz="0" w:space="0" w:color="auto"/>
                                    <w:bottom w:val="none" w:sz="0" w:space="0" w:color="auto"/>
                                    <w:right w:val="none" w:sz="0" w:space="0" w:color="auto"/>
                                  </w:divBdr>
                                  <w:divsChild>
                                    <w:div w:id="179922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096339">
                          <w:marLeft w:val="0"/>
                          <w:marRight w:val="0"/>
                          <w:marTop w:val="0"/>
                          <w:marBottom w:val="0"/>
                          <w:divBdr>
                            <w:top w:val="none" w:sz="0" w:space="0" w:color="auto"/>
                            <w:left w:val="none" w:sz="0" w:space="0" w:color="auto"/>
                            <w:bottom w:val="none" w:sz="0" w:space="0" w:color="auto"/>
                            <w:right w:val="none" w:sz="0" w:space="0" w:color="auto"/>
                          </w:divBdr>
                          <w:divsChild>
                            <w:div w:id="325284800">
                              <w:marLeft w:val="0"/>
                              <w:marRight w:val="0"/>
                              <w:marTop w:val="0"/>
                              <w:marBottom w:val="0"/>
                              <w:divBdr>
                                <w:top w:val="none" w:sz="0" w:space="0" w:color="auto"/>
                                <w:left w:val="none" w:sz="0" w:space="0" w:color="auto"/>
                                <w:bottom w:val="none" w:sz="0" w:space="0" w:color="auto"/>
                                <w:right w:val="none" w:sz="0" w:space="0" w:color="auto"/>
                              </w:divBdr>
                              <w:divsChild>
                                <w:div w:id="3896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57C7"/>
    <w:multiLevelType w:val="multilevel"/>
    <w:tmpl w:val="5CFED5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75990665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87ADD"/>
    <w:rsid w:val="00237B4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4257696-648D-4EFE-A023-0251FC4F8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http://www.w3.org/XML/1998/namespace"/>
    <ds:schemaRef ds:uri="http://purl.org/dc/elements/1.1/"/>
    <ds:schemaRef ds:uri="http://purl.org/dc/terms/"/>
    <ds:schemaRef ds:uri="1929b814-5a78-4bdc-9841-d8b9ef424f65"/>
    <ds:schemaRef ds:uri="a41a97bf-0494-41d8-ba3d-259bd7771890"/>
    <ds:schemaRef ds:uri="http://schemas.microsoft.com/sharepoint/v3/fields"/>
    <ds:schemaRef ds:uri="http://schemas.microsoft.com/office/infopath/2007/PartnerControls"/>
    <ds:schemaRef ds:uri="http://schemas.openxmlformats.org/package/2006/metadata/core-properties"/>
    <ds:schemaRef ds:uri="08927195-b699-4be0-9ee2-6c66dc215b5a"/>
    <ds:schemaRef ds:uri="http://schemas.microsoft.com/office/2006/metadata/propertie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5</Pages>
  <Words>1918</Words>
  <Characters>10938</Characters>
  <Application>Microsoft Office Word</Application>
  <DocSecurity>0</DocSecurity>
  <PresentationFormat>Microsoft Word 14.0</PresentationFormat>
  <Lines>91</Lines>
  <Paragraphs>25</Paragraphs>
  <ScaleCrop>true</ScaleCrop>
  <Company/>
  <LinksUpToDate>false</LinksUpToDate>
  <CharactersWithSpaces>12831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2025-03-25T10:37:00Z</dcterms:created>
  <dcterms:modified xsi:type="dcterms:W3CDTF">2025-03-27T16:22:00Z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