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EA6890">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rsidTr="56689760">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54CB4D0" w:rsidR="00762FD3" w:rsidRDefault="00DA488E">
                <w:pPr>
                  <w:tabs>
                    <w:tab w:val="left" w:pos="426"/>
                  </w:tabs>
                  <w:spacing w:before="120"/>
                </w:pPr>
                <w:r w:rsidRPr="00DA488E">
                  <w:t>ENEST.D.1</w:t>
                </w:r>
              </w:p>
            </w:tc>
          </w:sdtContent>
        </w:sdt>
      </w:tr>
      <w:tr w:rsidR="00762FD3" w14:paraId="4B8EFB62" w14:textId="77777777" w:rsidTr="56689760">
        <w:tc>
          <w:tcPr>
            <w:tcW w:w="3111" w:type="dxa"/>
          </w:tcPr>
          <w:p w14:paraId="51EA5B20" w14:textId="30D9C7F2" w:rsidR="00762FD3" w:rsidRDefault="00534199">
            <w:pPr>
              <w:tabs>
                <w:tab w:val="left" w:pos="426"/>
              </w:tabs>
              <w:spacing w:before="120"/>
            </w:pPr>
            <w:r w:rsidRPr="56689760">
              <w:rPr>
                <w:lang w:val="fr-FR"/>
              </w:rP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466C5D6E" w:rsidR="00762FD3" w:rsidRDefault="000A753A">
                <w:pPr>
                  <w:tabs>
                    <w:tab w:val="left" w:pos="426"/>
                  </w:tabs>
                  <w:spacing w:before="120"/>
                </w:pPr>
                <w:r>
                  <w:rPr>
                    <w:lang w:val="en-IE" w:eastAsia="en-GB"/>
                  </w:rPr>
                  <w:t>424160</w:t>
                </w:r>
              </w:p>
            </w:tc>
          </w:sdtContent>
        </w:sdt>
      </w:tr>
      <w:tr w:rsidR="00762FD3" w14:paraId="4E8359D5" w14:textId="77777777" w:rsidTr="56689760">
        <w:tc>
          <w:tcPr>
            <w:tcW w:w="3111" w:type="dxa"/>
          </w:tcPr>
          <w:p w14:paraId="72A7A894" w14:textId="1DC6A465" w:rsidR="00762FD3" w:rsidRDefault="00534199">
            <w:pPr>
              <w:tabs>
                <w:tab w:val="left" w:pos="1697"/>
              </w:tabs>
              <w:spacing w:before="120"/>
              <w:ind w:right="-1741"/>
            </w:pPr>
            <w:r w:rsidRPr="56689760">
              <w:rPr>
                <w:lang w:val="fr-FR"/>
              </w:rPr>
              <w:t>Personne de contact:</w:t>
            </w:r>
          </w:p>
          <w:p w14:paraId="1BD76B84" w14:textId="2ED3769A" w:rsidR="00762FD3" w:rsidRDefault="00534199">
            <w:pPr>
              <w:tabs>
                <w:tab w:val="left" w:pos="1697"/>
              </w:tabs>
              <w:ind w:right="-1739"/>
              <w:contextualSpacing/>
            </w:pPr>
            <w:r w:rsidRPr="56689760">
              <w:rPr>
                <w:lang w:val="fr-FR"/>
              </w:rPr>
              <w:t>Démarrage prévisionnel:</w:t>
            </w:r>
          </w:p>
          <w:p w14:paraId="324479C0" w14:textId="6E052826" w:rsidR="00762FD3" w:rsidRDefault="00534199">
            <w:pPr>
              <w:tabs>
                <w:tab w:val="left" w:pos="1697"/>
              </w:tabs>
              <w:ind w:right="-1739"/>
              <w:contextualSpacing/>
            </w:pPr>
            <w:r w:rsidRPr="56689760">
              <w:rPr>
                <w:lang w:val="fr-FR"/>
              </w:rPr>
              <w:t>Durée initiale:</w:t>
            </w:r>
          </w:p>
          <w:p w14:paraId="07FF8994" w14:textId="77777777" w:rsidR="00762FD3" w:rsidRDefault="00534199">
            <w:pPr>
              <w:tabs>
                <w:tab w:val="left" w:pos="426"/>
              </w:tabs>
              <w:spacing w:after="0"/>
              <w:contextualSpacing/>
            </w:pPr>
            <w:r w:rsidRPr="56689760">
              <w:rPr>
                <w:lang w:val="fr-FR"/>
              </w:rPr>
              <w:t>Lieu d’affectation:</w:t>
            </w:r>
          </w:p>
        </w:tc>
        <w:tc>
          <w:tcPr>
            <w:tcW w:w="5491" w:type="dxa"/>
          </w:tcPr>
          <w:sdt>
            <w:sdtPr>
              <w:rPr>
                <w:lang w:val="en-IE" w:eastAsia="en-GB"/>
              </w:rPr>
              <w:id w:val="226507670"/>
              <w:placeholder>
                <w:docPart w:val="09B6DFBE4845403099CE83EAC8D8E2AF"/>
              </w:placeholder>
            </w:sdtPr>
            <w:sdtEndPr/>
            <w:sdtContent>
              <w:p w14:paraId="35484291" w14:textId="64C92B6A" w:rsidR="000A753A" w:rsidRPr="000A753A" w:rsidRDefault="000A753A" w:rsidP="000A753A">
                <w:pPr>
                  <w:tabs>
                    <w:tab w:val="left" w:pos="426"/>
                  </w:tabs>
                  <w:spacing w:before="120"/>
                  <w:rPr>
                    <w:bCs/>
                    <w:lang w:val="fr-BE" w:eastAsia="en-GB"/>
                  </w:rPr>
                </w:pPr>
                <w:r w:rsidRPr="000A753A">
                  <w:rPr>
                    <w:bCs/>
                    <w:lang w:val="fr-BE" w:eastAsia="en-GB"/>
                  </w:rPr>
                  <w:t xml:space="preserve">Elena </w:t>
                </w:r>
                <w:r w:rsidR="00AD62B6" w:rsidRPr="000A753A">
                  <w:rPr>
                    <w:bCs/>
                    <w:lang w:val="fr-BE" w:eastAsia="en-GB"/>
                  </w:rPr>
                  <w:t xml:space="preserve">VIŠNAR MALINOVSKÁ </w:t>
                </w:r>
              </w:p>
            </w:sdtContent>
          </w:sdt>
          <w:p w14:paraId="34CF737A" w14:textId="5898233D" w:rsidR="00762FD3" w:rsidRDefault="00EA6890">
            <w:pPr>
              <w:tabs>
                <w:tab w:val="left" w:pos="426"/>
              </w:tabs>
              <w:contextualSpacing/>
            </w:pPr>
            <w:sdt>
              <w:sdtPr>
                <w:rPr>
                  <w:bCs/>
                  <w:lang w:val="en-IE" w:eastAsia="en-GB"/>
                </w:rPr>
                <w:id w:val="1175461244"/>
                <w:placeholder>
                  <w:docPart w:val="DefaultPlaceholder_-1854013440"/>
                </w:placeholder>
              </w:sdtPr>
              <w:sdtEndPr/>
              <w:sdtContent>
                <w:r w:rsidR="000A753A">
                  <w:t>4</w:t>
                </w:r>
                <w:r w:rsidR="00534199">
                  <w:t>ème</w:t>
                </w:r>
              </w:sdtContent>
            </w:sdt>
            <w:r w:rsidR="00534199">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753A" w:rsidRPr="00AD62B6">
                  <w:rPr>
                    <w:bCs/>
                    <w:lang w:val="fr-BE" w:eastAsia="en-GB"/>
                  </w:rPr>
                  <w:t>2025</w:t>
                </w:r>
              </w:sdtContent>
            </w:sdt>
          </w:p>
          <w:p w14:paraId="158DD156" w14:textId="3EF56C0F" w:rsidR="00762FD3" w:rsidRDefault="00EA6890">
            <w:pPr>
              <w:tabs>
                <w:tab w:val="left" w:pos="426"/>
              </w:tabs>
              <w:contextualSpacing/>
              <w:jc w:val="left"/>
            </w:pPr>
            <w:sdt>
              <w:sdtPr>
                <w:rPr>
                  <w:lang w:val="en-IE" w:eastAsia="en-GB"/>
                </w:rPr>
                <w:id w:val="202528730"/>
                <w:placeholder>
                  <w:docPart w:val="DefaultPlaceholder_-1854013440"/>
                </w:placeholder>
              </w:sdtPr>
              <w:sdtEndPr/>
              <w:sdtContent>
                <w:r w:rsidR="007F693C">
                  <w:rPr>
                    <w:lang w:val="fr-FR"/>
                  </w:rPr>
                  <w:t>2</w:t>
                </w:r>
              </w:sdtContent>
            </w:sdt>
            <w:r w:rsidR="00534199" w:rsidRPr="56689760">
              <w:rPr>
                <w:lang w:val="fr-FR"/>
              </w:rPr>
              <w:t xml:space="preserve"> ans</w:t>
            </w:r>
            <w:r w:rsidR="006B7B00">
              <w:br/>
            </w:r>
            <w:sdt>
              <w:sdtPr>
                <w:rPr>
                  <w:lang w:eastAsia="en-GB"/>
                </w:rPr>
                <w:id w:val="-69433268"/>
                <w14:checkbox>
                  <w14:checked w14:val="1"/>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Autre: </w:t>
            </w:r>
            <w:sdt>
              <w:sdtPr>
                <w:rPr>
                  <w:lang w:eastAsia="en-GB"/>
                </w:rPr>
                <w:id w:val="-186994276"/>
                <w:placeholder>
                  <w:docPart w:val="42CE55A0461841A39534A5E777539A67"/>
                </w:placeholder>
                <w:showingPlcHdr/>
              </w:sdtPr>
              <w:sdtEndPr/>
              <w:sdtContent>
                <w:r w:rsidR="00534199" w:rsidRPr="56689760">
                  <w:rPr>
                    <w:rStyle w:val="PlaceholderText"/>
                    <w:lang w:val="fr-FR"/>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rsidTr="56689760">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10534A26"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762FD3" w14:paraId="539D0BAC" w14:textId="77777777" w:rsidTr="56689760">
        <w:trPr>
          <w:trHeight w:val="4860"/>
        </w:trPr>
        <w:tc>
          <w:tcPr>
            <w:tcW w:w="8602" w:type="dxa"/>
            <w:gridSpan w:val="2"/>
          </w:tcPr>
          <w:p w14:paraId="582FFE97" w14:textId="38200397" w:rsidR="00762FD3" w:rsidRDefault="00534199">
            <w:pPr>
              <w:tabs>
                <w:tab w:val="left" w:pos="426"/>
              </w:tabs>
              <w:spacing w:before="120"/>
            </w:pPr>
            <w:r w:rsidRPr="56689760">
              <w:rPr>
                <w:lang w:val="fr-FR"/>
              </w:rPr>
              <w:t>Cet avis de vacance est ouvert à:</w:t>
            </w:r>
          </w:p>
          <w:p w14:paraId="4446CE69" w14:textId="7F440EC9" w:rsidR="00762FD3" w:rsidRDefault="0053419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762FD3" w:rsidRDefault="00534199">
            <w:pPr>
              <w:tabs>
                <w:tab w:val="left" w:pos="426"/>
              </w:tabs>
              <w:spacing w:after="120"/>
              <w:ind w:left="567"/>
            </w:pPr>
            <w:r w:rsidRPr="56689760">
              <w:rPr>
                <w:lang w:val="fr-FR"/>
              </w:rPr>
              <w:t>ainsi que</w:t>
            </w:r>
          </w:p>
          <w:p w14:paraId="48418475" w14:textId="6331CDD6" w:rsidR="00762FD3" w:rsidRDefault="00EA6890">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EA6890">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les pays tiers suivants: </w:t>
            </w:r>
            <w:sdt>
              <w:sdtPr>
                <w:rPr>
                  <w:lang w:eastAsia="en-GB"/>
                </w:rPr>
                <w:id w:val="1742369941"/>
                <w:placeholder>
                  <w:docPart w:val="335C0F1576B3499F8D90CE979ABE47D4"/>
                </w:placeholder>
                <w:showingPlcHdr/>
              </w:sdtPr>
              <w:sdtEndPr/>
              <w:sdtContent>
                <w:r w:rsidR="00534199" w:rsidRPr="56689760">
                  <w:rPr>
                    <w:rStyle w:val="PlaceholderText"/>
                    <w:lang w:val="fr-FR"/>
                  </w:rPr>
                  <w:t xml:space="preserve">....    </w:t>
                </w:r>
              </w:sdtContent>
            </w:sdt>
          </w:p>
          <w:p w14:paraId="265CD5A1" w14:textId="28DD3C9B" w:rsidR="00762FD3" w:rsidRPr="00EA6890" w:rsidRDefault="00EA6890" w:rsidP="00EA6890">
            <w:pPr>
              <w:numPr>
                <w:ilvl w:val="0"/>
                <w:numId w:val="39"/>
              </w:numPr>
              <w:tabs>
                <w:tab w:val="left" w:pos="426"/>
              </w:tabs>
              <w:contextualSpacing/>
              <w:rPr>
                <w:lang w:val="en-GB"/>
              </w:rPr>
            </w:pPr>
            <w:sdt>
              <w:sdtPr>
                <w:rPr>
                  <w:lang w:eastAsia="en-GB"/>
                </w:rPr>
                <w:id w:val="-933426265"/>
                <w14:checkbox>
                  <w14:checked w14:val="0"/>
                  <w14:checkedState w14:val="2612" w14:font="MS Gothic"/>
                  <w14:uncheckedState w14:val="2610" w14:font="MS Gothic"/>
                </w14:checkbox>
              </w:sdtPr>
              <w:sdtEndPr/>
              <w:sdtContent>
                <w:r w:rsidR="007F693C">
                  <w:rPr>
                    <w:rFonts w:ascii="MS Gothic" w:eastAsia="MS Gothic" w:hAnsi="MS Gothic" w:hint="eastAsia"/>
                    <w:lang w:eastAsia="en-GB"/>
                  </w:rPr>
                  <w:t>☐</w:t>
                </w:r>
              </w:sdtContent>
            </w:sdt>
            <w:r w:rsidR="00534199" w:rsidRPr="56689760">
              <w:rPr>
                <w:lang w:val="fr-FR"/>
              </w:rPr>
              <w:t xml:space="preserve"> les organisations intergouvernementales suivantes:</w:t>
            </w:r>
            <w:r w:rsidR="006B7B00">
              <w:tab/>
            </w:r>
            <w:r w:rsidRPr="00EA6890">
              <w:rPr>
                <w:lang w:val="en-GB"/>
              </w:rPr>
              <w:t>EBRD, EIB, EIF, World Bank</w:t>
            </w:r>
          </w:p>
          <w:p w14:paraId="195D93C2" w14:textId="57187952" w:rsidR="00762FD3" w:rsidRDefault="00762FD3">
            <w:pPr>
              <w:tabs>
                <w:tab w:val="left" w:pos="426"/>
              </w:tabs>
              <w:contextualSpacing/>
            </w:pPr>
          </w:p>
          <w:p w14:paraId="6CECCDB8" w14:textId="636F2FD6" w:rsidR="00762FD3" w:rsidRDefault="00534199">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762FD3" w14:paraId="4E10CC7A" w14:textId="77777777" w:rsidTr="56689760">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31E36F20" w:rsidR="00762FD3" w:rsidRDefault="00534199">
            <w:pPr>
              <w:tabs>
                <w:tab w:val="left" w:pos="426"/>
              </w:tabs>
              <w:spacing w:before="120" w:after="120"/>
            </w:pPr>
            <w:r>
              <w:object w:dxaOrig="225" w:dyaOrig="225" w14:anchorId="51A1B371">
                <v:shape id="_x0000_i1050" type="#_x0000_t75" style="width:108pt;height:21.75pt" o:ole="">
                  <v:imagedata r:id="rId23" o:title=""/>
                </v:shape>
                <w:control r:id="rId24" w:name="OptionButton2" w:shapeid="_x0000_i1050"/>
              </w:object>
            </w:r>
            <w:r>
              <w:object w:dxaOrig="225" w:dyaOrig="225" w14:anchorId="0992615F">
                <v:shape id="_x0000_i1049" type="#_x0000_t75" style="width:108pt;height:21.75pt" o:ole="">
                  <v:imagedata r:id="rId25" o:title=""/>
                </v:shape>
                <w:control r:id="rId26" w:name="OptionButton3" w:shapeid="_x0000_i1049"/>
              </w:object>
            </w:r>
          </w:p>
          <w:p w14:paraId="42C9AD79" w14:textId="739669E4" w:rsidR="00762FD3" w:rsidRDefault="00534199">
            <w:pPr>
              <w:tabs>
                <w:tab w:val="left" w:pos="426"/>
              </w:tabs>
              <w:spacing w:before="120" w:after="120"/>
            </w:pPr>
            <w:r w:rsidRPr="56689760">
              <w:rPr>
                <w:lang w:val="fr-FR"/>
              </w:rPr>
              <w:t xml:space="preserve">Date limite pour postuler: </w:t>
            </w:r>
            <w:sdt>
              <w:sdtPr>
                <w:rPr>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EA6890">
                  <w:rPr>
                    <w:lang w:val="fr-BE" w:eastAsia="en-GB"/>
                  </w:rPr>
                  <w:t>27-10-2025</w:t>
                </w:r>
              </w:sdtContent>
            </w:sdt>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508334451"/>
        <w:placeholder>
          <w:docPart w:val="1254A52C27D446FABF5534F7DFEF6A82"/>
        </w:placeholder>
      </w:sdtPr>
      <w:sdtEndPr/>
      <w:sdtContent>
        <w:p w14:paraId="2A25A9F9" w14:textId="04C2C3D0" w:rsidR="00F52FEE" w:rsidRDefault="00F52FEE" w:rsidP="00F52FEE">
          <w:pPr>
            <w:pStyle w:val="P68B1DB1-Normal1"/>
            <w:spacing w:before="120" w:after="120"/>
          </w:pPr>
          <w:r w:rsidRPr="56689760">
            <w:rPr>
              <w:lang w:val="fr-FR"/>
            </w:rPr>
            <w:t xml:space="preserve">La direction générale de la politique de voisinage et des négociations d’élargissement (DG ENEST) dirige les politiques de voisinage et d’élargissement de l’UE et travaille en étroite collaboration avec le SEAE, les </w:t>
          </w:r>
          <w:r w:rsidR="000A753A" w:rsidRPr="56689760">
            <w:rPr>
              <w:lang w:val="fr-FR"/>
            </w:rPr>
            <w:t>d</w:t>
          </w:r>
          <w:r w:rsidRPr="56689760">
            <w:rPr>
              <w:lang w:val="fr-FR"/>
            </w:rPr>
            <w:t xml:space="preserve">irections générales compétentes et les institutions financières internationales. En mettant en œuvre des actions de financement dans le voisinage oriental de l’Europe, la DG ENEST soutient les réformes et la consolidation démocratique et renforce la prospérité, la stabilité et la sécurité dans toute l’Europe. Dans le domaine de l'élargissement, la DG ENEST aide les pays qui ont une perspective d'adhésion à l'UE à satisfaire aux critères définis par le traité sur l'Union européenne et le Conseil européen. La DG gère les relations bilatérales de l’Union avec les pays candidats et candidats potentiels sur la voie de leur adhésion à l’UE, en axant les réformes sur l’état de droit, la gouvernance économique et la réforme de l’administration publique. Nos efforts sont sous le feu des projecteurs politiques au sein de la Commission, en Europe et au niveau international, et ont acquis leur place au cœur des priorités politiques de la nouvelle Commission en raison de l’évolution du contexte géopolitique et géoéconomique. </w:t>
          </w:r>
        </w:p>
        <w:p w14:paraId="01F67334" w14:textId="77777777" w:rsidR="00F52FEE" w:rsidRDefault="00F52FEE" w:rsidP="00F52FEE">
          <w:pPr>
            <w:pStyle w:val="P68B1DB1-Normal1"/>
            <w:spacing w:before="120" w:after="120"/>
          </w:pPr>
          <w:r>
            <w:t xml:space="preserve">Direction ENEST.D – Le service pour l’Ukraine soutient les réformes et les investissements en Ukraine par la mise en œuvre de la facilité pour l’Ukraine. </w:t>
          </w:r>
        </w:p>
        <w:p w14:paraId="22C33FA1" w14:textId="1260F6A0" w:rsidR="00DA488E" w:rsidRPr="00AD62B6" w:rsidRDefault="00F52FEE" w:rsidP="00DA488E">
          <w:pPr>
            <w:pStyle w:val="P68B1DB1-Normal1"/>
            <w:spacing w:before="120" w:after="120"/>
            <w:rPr>
              <w:lang w:val="fr-BE"/>
            </w:rPr>
          </w:pPr>
          <w:r>
            <w:t>L’unité ENEST.D1</w:t>
          </w:r>
          <w:r w:rsidR="005D0F6A">
            <w:t xml:space="preserve"> </w:t>
          </w:r>
          <w:r>
            <w:t xml:space="preserve">«Reconstruction et </w:t>
          </w:r>
          <w:r w:rsidRPr="00F52FEE">
            <w:t>élargissement</w:t>
          </w:r>
          <w:r>
            <w:t xml:space="preserve">» est l’unité politique et de coordination du service pour l’Ukraine. Elle est également chargée du déploiement du cadre d’investissement pour l’Ukraine, le bras d’investissement de la facilité pour l’Ukraine. </w:t>
          </w:r>
          <w:r w:rsidR="00DA488E">
            <w:t>Elle</w:t>
          </w:r>
          <w:r>
            <w:t xml:space="preserve"> dirige les services de renseignement politique et les réunions d’information sur l’Ukraine, coordonne les efforts de la Commission en matière de reconstruction et de redressement de l’Ukraine, en étroite collaboration avec le secrétariat de la plateforme des donateurs pour l’Ukraine. L’unité gère les relations interinstitutionnelles avec le Parlement et le Conseil sur l’Ukraine, en étroite coopération avec l’unité 01, et coordonne les travaux de la direction liés au processus d’élargissement de l’Ukraine.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404EE0E6"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rsidP="56689760">
          <w:pPr>
            <w:rPr>
              <w:i/>
              <w:iCs/>
              <w:u w:val="single"/>
              <w:lang w:val="fr-FR"/>
            </w:rPr>
          </w:pPr>
          <w:r w:rsidRPr="56689760">
            <w:rPr>
              <w:i/>
              <w:iCs/>
              <w:u w:val="single"/>
              <w:lang w:val="fr-FR"/>
            </w:rPr>
            <w:t xml:space="preserve">Responsabilités principales: </w:t>
          </w:r>
          <w:r w:rsidRPr="56689760">
            <w:rPr>
              <w:lang w:val="fr-FR"/>
            </w:rPr>
            <w:t xml:space="preserve"> </w:t>
          </w:r>
        </w:p>
        <w:p w14:paraId="1F19FFDF" w14:textId="61AFF8AE"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42BF514"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654F8315" w:rsidR="00762FD3" w:rsidRDefault="00534199">
          <w:r>
            <w:lastRenderedPageBreak/>
            <w:t xml:space="preserve">• Contribuer à la rédaction de notes d’information, de </w:t>
          </w:r>
          <w:r w:rsidR="00681956">
            <w:t>briefings</w:t>
          </w:r>
          <w:r>
            <w:t xml:space="preserve">, de rapports, de manuels, de notes d’orientation et de </w:t>
          </w:r>
          <w:r w:rsidR="005D0F6A">
            <w:t>modèles ;</w:t>
          </w:r>
        </w:p>
        <w:p w14:paraId="43500AA8" w14:textId="55A63FD2" w:rsidR="00762FD3" w:rsidRDefault="00534199">
          <w:r w:rsidRPr="56689760">
            <w:rPr>
              <w:lang w:val="fr-FR"/>
            </w:rPr>
            <w:t>• Assurer le suivi des résultats et des recommandations des rapports d’évaluation et d’audit. Intégrer les enseignements tirés et assurer la diffusion des meilleures pratiques;</w:t>
          </w:r>
        </w:p>
        <w:p w14:paraId="4FCE03AB" w14:textId="224626DD" w:rsidR="00762FD3" w:rsidRDefault="00534199">
          <w:r>
            <w:t>• Soutenir le dialogue avec le secteur privé dans le cadre des investissements au titre du cadre d’investissement pour l’Ukraine afin d</w:t>
          </w:r>
          <w:r w:rsidR="00681956">
            <w:t>’encourager les</w:t>
          </w:r>
          <w:r>
            <w:t xml:space="preserve"> capitaux </w:t>
          </w:r>
          <w:r w:rsidR="005D0F6A">
            <w:t>privés ;</w:t>
          </w:r>
        </w:p>
        <w:p w14:paraId="04155665" w14:textId="0FA093C7" w:rsidR="00762FD3" w:rsidRDefault="00534199">
          <w:r w:rsidRPr="56689760">
            <w:rPr>
              <w:lang w:val="fr-FR"/>
            </w:rPr>
            <w:t>• Participer aux consultations interservices et contribuer aux activités de coordination avec d’autres DG de la Commission et d’autres directions de la DG NEAR;</w:t>
          </w:r>
        </w:p>
        <w:p w14:paraId="41A01451" w14:textId="005F16F8"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w:t>
          </w:r>
          <w:r w:rsidR="005D0F6A">
            <w:t>hoc ;</w:t>
          </w:r>
        </w:p>
        <w:p w14:paraId="35384709" w14:textId="4A2879E4" w:rsidR="00762FD3" w:rsidRDefault="00534199">
          <w:r w:rsidRPr="56689760">
            <w:rPr>
              <w:lang w:val="fr-FR"/>
            </w:rPr>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5B00E65C" w:rsidR="00762FD3" w:rsidRDefault="00534199">
          <w:r>
            <w:t xml:space="preserve">Connaissance des instruments financiers, y compris des accords de </w:t>
          </w:r>
          <w:r w:rsidR="00502637">
            <w:t xml:space="preserve">financement mixte </w:t>
          </w:r>
          <w:r>
            <w:t>et/ou de garantie</w:t>
          </w:r>
          <w:r w:rsidR="005D0F6A">
            <w:t xml:space="preserve"> </w:t>
          </w:r>
          <w:r>
            <w:t xml:space="preserve">; une expérience pratique au sein d’une institution nationale ou internationale serait un atout. </w:t>
          </w:r>
        </w:p>
        <w:p w14:paraId="51994EDB" w14:textId="485D18B8"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rsidRPr="56689760">
        <w:rPr>
          <w:lang w:val="fr-FR"/>
        </w:rPr>
        <w:t xml:space="preserve">Aux termes de la décision END, vous devrez obligatoirement remplir les critères d’éligibilité suivants à </w:t>
      </w:r>
      <w:r w:rsidRPr="56689760">
        <w:rPr>
          <w:b/>
          <w:bCs/>
          <w:lang w:val="fr-FR"/>
        </w:rPr>
        <w:t>la date de début</w:t>
      </w:r>
      <w:r w:rsidRPr="56689760">
        <w:rPr>
          <w:lang w:val="fr-FR"/>
        </w:rPr>
        <w:t xml:space="preserve"> du détachement:</w:t>
      </w:r>
    </w:p>
    <w:p w14:paraId="2A82F38A" w14:textId="4F2D910B" w:rsidR="00762FD3" w:rsidRDefault="00534199">
      <w:pPr>
        <w:pStyle w:val="ListBullet"/>
      </w:pPr>
      <w:r w:rsidRPr="56689760">
        <w:rPr>
          <w:u w:val="single"/>
          <w:lang w:val="fr-FR"/>
        </w:rPr>
        <w:t>Expérience professionnelle:</w:t>
      </w:r>
      <w:r w:rsidRPr="56689760">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6DB7BBFD" w:rsidR="00762FD3" w:rsidRDefault="00534199">
      <w:pPr>
        <w:pStyle w:val="ListBullet"/>
      </w:pPr>
      <w:r>
        <w:rPr>
          <w:u w:val="single"/>
        </w:rPr>
        <w:lastRenderedPageBreak/>
        <w:t>Ancienneté</w:t>
      </w:r>
      <w:r w:rsidR="005D0F6A">
        <w:rPr>
          <w:u w:val="single"/>
        </w:rPr>
        <w:t xml:space="preserve"> </w:t>
      </w:r>
      <w:r>
        <w:rPr>
          <w:u w:val="single"/>
        </w:rPr>
        <w:t>:</w:t>
      </w:r>
      <w:r>
        <w:t xml:space="preserve"> avoir travaillé pendant au moins une année complète (12 mois) auprès de votre employeur actuel dans un cadre statutaire ou contractuel.</w:t>
      </w:r>
    </w:p>
    <w:p w14:paraId="52986B8D" w14:textId="3CB3C808" w:rsidR="00762FD3" w:rsidRDefault="00502637">
      <w:pPr>
        <w:pStyle w:val="ListBullet"/>
      </w:pPr>
      <w:r>
        <w:rPr>
          <w:u w:val="single"/>
        </w:rPr>
        <w:t xml:space="preserve">Être employé </w:t>
      </w:r>
      <w:r w:rsidR="005D0F6A">
        <w:rPr>
          <w:u w:val="single"/>
        </w:rPr>
        <w:t>par :</w:t>
      </w:r>
      <w:r w:rsidR="00534199">
        <w:t xml:space="preserve"> une administration nationale, régionale ou locale ou une organisation publique intergouvernementale (OIG)</w:t>
      </w:r>
      <w:r w:rsidR="005D0F6A">
        <w:t xml:space="preserve"> </w:t>
      </w:r>
      <w:r w:rsidR="00534199">
        <w:t>;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772699D1" w:rsidR="00762FD3" w:rsidRDefault="00534199">
      <w:pPr>
        <w:pStyle w:val="ListBullet"/>
      </w:pPr>
      <w:r>
        <w:rPr>
          <w:u w:val="single"/>
        </w:rPr>
        <w:t xml:space="preserve">Compétences </w:t>
      </w:r>
      <w:r w:rsidR="005D0F6A">
        <w:rPr>
          <w:u w:val="single"/>
        </w:rPr>
        <w:t>linguistiques :</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C150F34"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 xml:space="preserve">n’acceptera que les candidatures qui auront été soumises par l’intermédiaire de la représentation permanente/mission diplomatique de votre pays auprès de l’UE, par le secrétariat de l’AELE ou par le (s) canal (canaux) qui </w:t>
      </w:r>
      <w:r>
        <w:rPr>
          <w:b/>
        </w:rPr>
        <w:lastRenderedPageBreak/>
        <w:t>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FB07561"/>
    <w:multiLevelType w:val="hybridMultilevel"/>
    <w:tmpl w:val="EA34755A"/>
    <w:lvl w:ilvl="0" w:tplc="EC94AB0E">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9"/>
  </w:num>
  <w:num w:numId="17" w16cid:durableId="1058630122">
    <w:abstractNumId w:val="13"/>
  </w:num>
  <w:num w:numId="18" w16cid:durableId="2120908136">
    <w:abstractNumId w:val="14"/>
  </w:num>
  <w:num w:numId="19" w16cid:durableId="686714860">
    <w:abstractNumId w:val="30"/>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8"/>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 w:numId="39" w16cid:durableId="1806005923">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53A"/>
    <w:rsid w:val="000D129C"/>
    <w:rsid w:val="000F371B"/>
    <w:rsid w:val="000F4CD5"/>
    <w:rsid w:val="00111AB6"/>
    <w:rsid w:val="001C3357"/>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02637"/>
    <w:rsid w:val="005168AD"/>
    <w:rsid w:val="00534199"/>
    <w:rsid w:val="005434B0"/>
    <w:rsid w:val="0058240F"/>
    <w:rsid w:val="0058623D"/>
    <w:rsid w:val="00592CD5"/>
    <w:rsid w:val="0059778D"/>
    <w:rsid w:val="005D0F6A"/>
    <w:rsid w:val="005D1B85"/>
    <w:rsid w:val="005D42BF"/>
    <w:rsid w:val="00665583"/>
    <w:rsid w:val="00681732"/>
    <w:rsid w:val="00681956"/>
    <w:rsid w:val="00692242"/>
    <w:rsid w:val="00693BC6"/>
    <w:rsid w:val="00696070"/>
    <w:rsid w:val="006A01CD"/>
    <w:rsid w:val="006B7B00"/>
    <w:rsid w:val="00762FD3"/>
    <w:rsid w:val="007E531E"/>
    <w:rsid w:val="007F02AC"/>
    <w:rsid w:val="007F693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C712A"/>
    <w:rsid w:val="00AD3FB0"/>
    <w:rsid w:val="00AD62B6"/>
    <w:rsid w:val="00AF6424"/>
    <w:rsid w:val="00B00671"/>
    <w:rsid w:val="00B1711F"/>
    <w:rsid w:val="00B24CC5"/>
    <w:rsid w:val="00B3644B"/>
    <w:rsid w:val="00B40C65"/>
    <w:rsid w:val="00B65513"/>
    <w:rsid w:val="00B73F08"/>
    <w:rsid w:val="00B8014C"/>
    <w:rsid w:val="00C06724"/>
    <w:rsid w:val="00C3254D"/>
    <w:rsid w:val="00C366F7"/>
    <w:rsid w:val="00C504C7"/>
    <w:rsid w:val="00C75BA4"/>
    <w:rsid w:val="00CB5B61"/>
    <w:rsid w:val="00CD2C5A"/>
    <w:rsid w:val="00CD50BD"/>
    <w:rsid w:val="00D0015C"/>
    <w:rsid w:val="00D01A59"/>
    <w:rsid w:val="00D0240B"/>
    <w:rsid w:val="00D03CF4"/>
    <w:rsid w:val="00D460E5"/>
    <w:rsid w:val="00D51477"/>
    <w:rsid w:val="00D56900"/>
    <w:rsid w:val="00D619A2"/>
    <w:rsid w:val="00D7090C"/>
    <w:rsid w:val="00D81332"/>
    <w:rsid w:val="00D84D53"/>
    <w:rsid w:val="00D96984"/>
    <w:rsid w:val="00DA488E"/>
    <w:rsid w:val="00DC4EEF"/>
    <w:rsid w:val="00DD41ED"/>
    <w:rsid w:val="00DF1E49"/>
    <w:rsid w:val="00E01D7D"/>
    <w:rsid w:val="00E21DBD"/>
    <w:rsid w:val="00E342CB"/>
    <w:rsid w:val="00E41704"/>
    <w:rsid w:val="00E44D7F"/>
    <w:rsid w:val="00E62AF3"/>
    <w:rsid w:val="00E82667"/>
    <w:rsid w:val="00E84FE8"/>
    <w:rsid w:val="00E92871"/>
    <w:rsid w:val="00EA6890"/>
    <w:rsid w:val="00EB3147"/>
    <w:rsid w:val="00F44606"/>
    <w:rsid w:val="00F4683D"/>
    <w:rsid w:val="00F52FEE"/>
    <w:rsid w:val="00F6462F"/>
    <w:rsid w:val="00F91B73"/>
    <w:rsid w:val="00F93413"/>
    <w:rsid w:val="00FD740F"/>
    <w:rsid w:val="5668976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paragraph" w:customStyle="1" w:styleId="P68B1DB1-Normal1">
    <w:name w:val="P68B1DB1-Normal1"/>
    <w:basedOn w:val="Normal"/>
    <w:rsid w:val="00F52FEE"/>
    <w:rPr>
      <w:color w:val="000000"/>
      <w:shd w:val="clear" w:color="auto" w:fill="FFFFFF"/>
    </w:rPr>
  </w:style>
  <w:style w:type="character" w:styleId="UnresolvedMention">
    <w:name w:val="Unresolved Mention"/>
    <w:basedOn w:val="DefaultParagraphFont"/>
    <w:semiHidden/>
    <w:locked/>
    <w:rsid w:val="000A7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280957657">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429930358">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254A52C27D446FABF5534F7DFEF6A82"/>
        <w:category>
          <w:name w:val="General"/>
          <w:gallery w:val="placeholder"/>
        </w:category>
        <w:types>
          <w:type w:val="bbPlcHdr"/>
        </w:types>
        <w:behaviors>
          <w:behavior w:val="content"/>
        </w:behaviors>
        <w:guid w:val="{ED47F9FE-ABC2-4B9A-B972-EEC5904880E7}"/>
      </w:docPartPr>
      <w:docPartBody>
        <w:p w:rsidR="005D42BF" w:rsidRDefault="005D42BF" w:rsidP="005D42BF">
          <w:pPr>
            <w:pStyle w:val="1254A52C27D446FABF5534F7DFEF6A82"/>
          </w:pPr>
          <w:r>
            <w:rPr>
              <w:rStyle w:val="PlaceholderText"/>
            </w:rPr>
            <w:t>Cliquez ou appuyez ici pour entrer du texte.</w:t>
          </w:r>
        </w:p>
      </w:docPartBody>
    </w:docPart>
    <w:docPart>
      <w:docPartPr>
        <w:name w:val="09B6DFBE4845403099CE83EAC8D8E2AF"/>
        <w:category>
          <w:name w:val="General"/>
          <w:gallery w:val="placeholder"/>
        </w:category>
        <w:types>
          <w:type w:val="bbPlcHdr"/>
        </w:types>
        <w:behaviors>
          <w:behavior w:val="content"/>
        </w:behaviors>
        <w:guid w:val="{DBFF3760-BCF4-4AA6-9DF6-A4639F207581}"/>
      </w:docPartPr>
      <w:docPartBody>
        <w:p w:rsidR="005D42BF" w:rsidRDefault="005D42BF" w:rsidP="005D42BF">
          <w:pPr>
            <w:pStyle w:val="09B6DFBE4845403099CE83EAC8D8E2A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16B25"/>
    <w:rsid w:val="005D42BF"/>
    <w:rsid w:val="006212B2"/>
    <w:rsid w:val="006F0611"/>
    <w:rsid w:val="007F7378"/>
    <w:rsid w:val="00893390"/>
    <w:rsid w:val="00894A0C"/>
    <w:rsid w:val="008E40D1"/>
    <w:rsid w:val="009A12CB"/>
    <w:rsid w:val="00B00671"/>
    <w:rsid w:val="00C366F7"/>
    <w:rsid w:val="00CA527C"/>
    <w:rsid w:val="00CD50BD"/>
    <w:rsid w:val="00D0240B"/>
    <w:rsid w:val="00D374C1"/>
    <w:rsid w:val="00E01D7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D42B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254A52C27D446FABF5534F7DFEF6A82">
    <w:name w:val="1254A52C27D446FABF5534F7DFEF6A82"/>
    <w:rsid w:val="005D42BF"/>
    <w:pPr>
      <w:spacing w:line="278" w:lineRule="auto"/>
    </w:pPr>
    <w:rPr>
      <w:kern w:val="2"/>
      <w:sz w:val="24"/>
      <w:szCs w:val="24"/>
      <w14:ligatures w14:val="standardContextual"/>
    </w:rPr>
  </w:style>
  <w:style w:type="paragraph" w:customStyle="1" w:styleId="09B6DFBE4845403099CE83EAC8D8E2AF">
    <w:name w:val="09B6DFBE4845403099CE83EAC8D8E2AF"/>
    <w:rsid w:val="005D42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30c666ed-fe46-43d6-bf30-6de2567680e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768030B1-EFB7-4126-8BC6-E2D654E62FFC}"/>
</file>

<file path=docProps/app.xml><?xml version="1.0" encoding="utf-8"?>
<Properties xmlns="http://schemas.openxmlformats.org/officeDocument/2006/extended-properties" xmlns:vt="http://schemas.openxmlformats.org/officeDocument/2006/docPropsVTypes">
  <Template>Eurolook</Template>
  <TotalTime>1</TotalTime>
  <Pages>5</Pages>
  <Words>1514</Words>
  <Characters>8632</Characters>
  <Application>Microsoft Office Word</Application>
  <DocSecurity>0</DocSecurity>
  <PresentationFormat>Microsoft Word 14.0</PresentationFormat>
  <Lines>71</Lines>
  <Paragraphs>20</Paragraphs>
  <ScaleCrop>true</ScaleCrop>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2025-06-04T08:21:00Z</dcterms:created>
  <dcterms:modified xsi:type="dcterms:W3CDTF">2025-07-14T12:54:00Z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