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C235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C235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C235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C23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C235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C235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D0A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E3C8D5" w:rsidR="00377580" w:rsidRPr="00080A71" w:rsidRDefault="006D0AB9" w:rsidP="005F6927">
                <w:pPr>
                  <w:tabs>
                    <w:tab w:val="left" w:pos="426"/>
                  </w:tabs>
                  <w:rPr>
                    <w:bCs/>
                    <w:lang w:val="en-IE" w:eastAsia="en-GB"/>
                  </w:rPr>
                </w:pPr>
                <w:r>
                  <w:rPr>
                    <w:b/>
                    <w:lang w:eastAsia="en-GB"/>
                  </w:rPr>
                  <w:t>FISMA-D-2</w:t>
                </w:r>
              </w:p>
            </w:tc>
          </w:sdtContent>
        </w:sdt>
      </w:tr>
      <w:tr w:rsidR="00377580" w:rsidRPr="006D0A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DAB77AA" w:rsidR="00377580" w:rsidRPr="00080A71" w:rsidRDefault="006D0AB9" w:rsidP="005F6927">
                <w:pPr>
                  <w:tabs>
                    <w:tab w:val="left" w:pos="426"/>
                  </w:tabs>
                  <w:rPr>
                    <w:bCs/>
                    <w:lang w:val="en-IE" w:eastAsia="en-GB"/>
                  </w:rPr>
                </w:pPr>
                <w:r w:rsidRPr="006D0AB9">
                  <w:rPr>
                    <w:bCs/>
                    <w:lang w:val="en-GB" w:eastAsia="en-GB"/>
                  </w:rPr>
                  <w:t>431624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5FD1D46" w:rsidR="00377580" w:rsidRPr="00477B87" w:rsidRDefault="006D0AB9" w:rsidP="006D0AB9">
                <w:pPr>
                  <w:spacing w:after="0"/>
                  <w:rPr>
                    <w:bCs/>
                    <w:lang w:val="fr-BE" w:eastAsia="en-GB"/>
                  </w:rPr>
                </w:pPr>
                <w:r w:rsidRPr="000B03DD">
                  <w:rPr>
                    <w:b/>
                  </w:rPr>
                  <w:t>Raluca Alexandra PRUNA</w:t>
                </w:r>
              </w:p>
            </w:sdtContent>
          </w:sdt>
          <w:p w14:paraId="32DD8032" w14:textId="2AB0F48B" w:rsidR="00377580" w:rsidRPr="001D3EEC" w:rsidRDefault="005C235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6D0AB9">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D0AB9" w:rsidRPr="00477B87">
                      <w:rPr>
                        <w:bCs/>
                        <w:lang w:val="fr-BE" w:eastAsia="en-GB"/>
                      </w:rPr>
                      <w:t>2026</w:t>
                    </w:r>
                  </w:sdtContent>
                </w:sdt>
              </w:sdtContent>
            </w:sdt>
            <w:r w:rsidR="00377580" w:rsidRPr="001D3EEC">
              <w:rPr>
                <w:bCs/>
                <w:lang w:val="fr-BE" w:eastAsia="en-GB"/>
              </w:rPr>
              <w:t xml:space="preserve"> </w:t>
            </w:r>
          </w:p>
          <w:p w14:paraId="768BBE26" w14:textId="2E9C588D" w:rsidR="00377580" w:rsidRPr="001D3EEC" w:rsidRDefault="005C235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D0A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D0A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02A395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3D4B3A7"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C235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C235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C235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6714EF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D0AB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43752F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2" o:title=""/>
                </v:shape>
                <w:control r:id="rId23" w:name="OptionButton2" w:shapeid="_x0000_i1049"/>
              </w:object>
            </w:r>
            <w:r>
              <w:rPr>
                <w:bCs/>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47B0F9E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6D0AB9">
                  <w:rPr>
                    <w:bCs/>
                    <w:lang w:val="fr-BE" w:eastAsia="en-GB"/>
                  </w:rPr>
                  <w:t>2</w:t>
                </w:r>
                <w:r w:rsidR="005C2355">
                  <w:rPr>
                    <w:bCs/>
                    <w:lang w:val="fr-BE" w:eastAsia="en-GB"/>
                  </w:rPr>
                  <w:t>5</w:t>
                </w:r>
                <w:r w:rsidR="006D0AB9">
                  <w:rPr>
                    <w:bCs/>
                    <w:lang w:val="fr-BE" w:eastAsia="en-GB"/>
                  </w:rPr>
                  <w:t>-09-2025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996F24" w14:textId="77777777" w:rsidR="006D0AB9" w:rsidRDefault="006D0AB9" w:rsidP="006D0AB9">
          <w:pPr>
            <w:spacing w:after="0"/>
            <w:ind w:left="426"/>
            <w:rPr>
              <w:rFonts w:eastAsia="Calibri"/>
              <w:lang w:eastAsia="en-GB"/>
            </w:rPr>
          </w:pPr>
          <w:r>
            <w:rPr>
              <w:rFonts w:eastAsia="Calibri"/>
              <w:lang w:eastAsia="en-GB"/>
            </w:rPr>
            <w:t>L</w:t>
          </w:r>
          <w:r w:rsidRPr="000B03DD">
            <w:rPr>
              <w:rFonts w:eastAsia="Calibri"/>
              <w:lang w:eastAsia="en-GB"/>
            </w:rPr>
            <w:t>’unité D2 Criminalité financière est une équipe motivée et dynamique au sein de la direction Banque, assurances et criminalité financière de la DG FISMA. L’unité est en charge de la politique et de la législation de l’Union Européenne dans le domaine de la lutte contre le blanchiment de capitaux et le financement du terrorisme (LBC/FT).</w:t>
          </w:r>
        </w:p>
        <w:p w14:paraId="5C498E05" w14:textId="77777777" w:rsidR="006D0AB9" w:rsidRPr="000B03DD" w:rsidRDefault="006D0AB9" w:rsidP="006D0AB9">
          <w:pPr>
            <w:spacing w:after="0"/>
            <w:ind w:left="426"/>
            <w:rPr>
              <w:rFonts w:eastAsia="Calibri"/>
              <w:lang w:eastAsia="en-GB"/>
            </w:rPr>
          </w:pPr>
        </w:p>
        <w:p w14:paraId="0CDA3CC5" w14:textId="77777777" w:rsidR="006D0AB9" w:rsidRDefault="006D0AB9" w:rsidP="006D0AB9">
          <w:pPr>
            <w:spacing w:after="0"/>
            <w:ind w:left="426"/>
            <w:rPr>
              <w:rFonts w:eastAsia="Calibri"/>
              <w:lang w:eastAsia="en-GB"/>
            </w:rPr>
          </w:pPr>
          <w:r w:rsidRPr="000B03DD">
            <w:rPr>
              <w:rFonts w:eastAsia="Calibri"/>
              <w:lang w:eastAsia="en-GB"/>
            </w:rPr>
            <w:t xml:space="preserve">L’unité travaille à la réforme du cadre législatif de l’Union Européenne en matière de lutte contre le blanchiment de capitaux et le financement du terrorisme et </w:t>
          </w:r>
          <w:r>
            <w:rPr>
              <w:rFonts w:eastAsia="Calibri"/>
              <w:lang w:eastAsia="en-GB"/>
            </w:rPr>
            <w:t xml:space="preserve">a récemment </w:t>
          </w:r>
          <w:r>
            <w:rPr>
              <w:rFonts w:eastAsia="Calibri"/>
              <w:lang w:eastAsia="en-GB"/>
            </w:rPr>
            <w:lastRenderedPageBreak/>
            <w:t>conclu les négociations d’</w:t>
          </w:r>
          <w:r w:rsidRPr="000B03DD">
            <w:rPr>
              <w:rFonts w:eastAsia="Calibri"/>
              <w:lang w:eastAsia="en-GB"/>
            </w:rPr>
            <w:t xml:space="preserve">un ambitieux paquet de mesures législatives </w:t>
          </w:r>
          <w:r>
            <w:rPr>
              <w:rFonts w:eastAsia="Calibri"/>
              <w:lang w:eastAsia="en-GB"/>
            </w:rPr>
            <w:t xml:space="preserve">, qui ont été publiées au Journal officiel de l’Union Européenne en juin 2024 (lien : </w:t>
          </w:r>
          <w:r w:rsidRPr="00A85F35">
            <w:rPr>
              <w:rFonts w:eastAsia="Calibri"/>
              <w:lang w:eastAsia="en-GB"/>
            </w:rPr>
            <w:t>(europa.eu)</w:t>
          </w:r>
          <w:r w:rsidRPr="000B03DD">
            <w:rPr>
              <w:rFonts w:eastAsia="Calibri"/>
              <w:lang w:eastAsia="en-GB"/>
            </w:rPr>
            <w:t xml:space="preserve">. </w:t>
          </w:r>
          <w:r w:rsidRPr="006C4287">
            <w:rPr>
              <w:rFonts w:eastAsia="Calibri"/>
              <w:lang w:eastAsia="en-GB"/>
            </w:rPr>
            <w:t>Il s’agi</w:t>
          </w:r>
          <w:r>
            <w:rPr>
              <w:rFonts w:eastAsia="Calibri"/>
              <w:lang w:eastAsia="en-GB"/>
            </w:rPr>
            <w:t>ssai</w:t>
          </w:r>
          <w:r w:rsidRPr="006C4287">
            <w:rPr>
              <w:rFonts w:eastAsia="Calibri"/>
              <w:lang w:eastAsia="en-GB"/>
            </w:rPr>
            <w:t xml:space="preserve">t notamment de la </w:t>
          </w:r>
          <w:r>
            <w:rPr>
              <w:rFonts w:eastAsia="Calibri"/>
              <w:lang w:eastAsia="en-GB"/>
            </w:rPr>
            <w:t>mise en place d’un</w:t>
          </w:r>
          <w:r w:rsidRPr="006C4287">
            <w:rPr>
              <w:rFonts w:eastAsia="Calibri"/>
              <w:lang w:eastAsia="en-GB"/>
            </w:rPr>
            <w:t xml:space="preserve"> corpus réglementaire unique en matière de LBC/FT et d’une refonte majeure de l’architecture institutionnelle au niveau de l’Union par la création d’une Autorité européenne de lutte contre le blanchiment de capitaux (ALBC</w:t>
          </w:r>
          <w:r>
            <w:rPr>
              <w:rFonts w:eastAsia="Calibri"/>
              <w:lang w:eastAsia="en-GB"/>
            </w:rPr>
            <w:t>, en anglais AMLA</w:t>
          </w:r>
          <w:r w:rsidRPr="006C4287">
            <w:rPr>
              <w:rFonts w:eastAsia="Calibri"/>
              <w:lang w:eastAsia="en-GB"/>
            </w:rPr>
            <w:t>).</w:t>
          </w:r>
        </w:p>
        <w:p w14:paraId="2B5A1B13" w14:textId="77777777" w:rsidR="006D0AB9" w:rsidRDefault="006D0AB9" w:rsidP="006D0AB9">
          <w:pPr>
            <w:spacing w:after="0"/>
            <w:ind w:left="426"/>
            <w:rPr>
              <w:rFonts w:eastAsia="Calibri"/>
              <w:lang w:eastAsia="en-GB"/>
            </w:rPr>
          </w:pPr>
        </w:p>
        <w:p w14:paraId="3ACD62A6" w14:textId="77777777" w:rsidR="006D0AB9" w:rsidRDefault="006D0AB9" w:rsidP="006D0AB9">
          <w:pPr>
            <w:spacing w:after="0"/>
            <w:ind w:left="426"/>
            <w:rPr>
              <w:rFonts w:eastAsia="Calibri"/>
              <w:lang w:eastAsia="en-GB"/>
            </w:rPr>
          </w:pPr>
          <w:r w:rsidRPr="006C4287">
            <w:rPr>
              <w:rFonts w:eastAsia="Calibri"/>
              <w:lang w:eastAsia="en-GB"/>
            </w:rPr>
            <w:t>Ces travaux seront actuellement suivis de l’achèvement du corpus réglementaire unique LBC/FT par des normes techniques de réglementation et d’autres actes de droit dérivé, en étroite coopération avec l’ALBC.</w:t>
          </w:r>
        </w:p>
        <w:p w14:paraId="744E3D5D" w14:textId="77777777" w:rsidR="006D0AB9" w:rsidRDefault="006D0AB9" w:rsidP="006D0AB9">
          <w:pPr>
            <w:spacing w:after="0"/>
            <w:ind w:left="426"/>
            <w:rPr>
              <w:rFonts w:eastAsia="Calibri"/>
              <w:lang w:eastAsia="en-GB"/>
            </w:rPr>
          </w:pPr>
          <w:r w:rsidRPr="000B03DD">
            <w:rPr>
              <w:rFonts w:eastAsia="Calibri"/>
              <w:lang w:eastAsia="en-GB"/>
            </w:rPr>
            <w:t>Les travaux de l’unité comprennent également une participation active aux travaux du Groupe d’action financière (GAFI), principal organisme de normalisation de la LBC/FT au niveau mondial.</w:t>
          </w:r>
          <w:r>
            <w:rPr>
              <w:rFonts w:eastAsia="Calibri"/>
              <w:lang w:eastAsia="en-GB"/>
            </w:rPr>
            <w:t xml:space="preserve"> </w:t>
          </w:r>
          <w:r w:rsidRPr="00DF5938">
            <w:rPr>
              <w:rFonts w:eastAsia="Calibri"/>
              <w:lang w:eastAsia="en-GB"/>
            </w:rPr>
            <w:t xml:space="preserve">L’unité participe également activement à l’évaluation du cadre LBC/FT des pays tiers </w:t>
          </w:r>
          <w:r>
            <w:rPr>
              <w:rFonts w:eastAsia="Calibri"/>
              <w:lang w:eastAsia="en-GB"/>
            </w:rPr>
            <w:t>qui sont dans un processus d’adhésion</w:t>
          </w:r>
          <w:r w:rsidRPr="00DF5938">
            <w:rPr>
              <w:rFonts w:eastAsia="Calibri"/>
              <w:lang w:eastAsia="en-GB"/>
            </w:rPr>
            <w:t xml:space="preserve"> à l’UE.</w:t>
          </w:r>
        </w:p>
        <w:p w14:paraId="7895086D" w14:textId="77777777" w:rsidR="006D0AB9" w:rsidRPr="000B03DD" w:rsidRDefault="006D0AB9" w:rsidP="006D0AB9">
          <w:pPr>
            <w:spacing w:after="0"/>
            <w:ind w:left="426"/>
            <w:rPr>
              <w:rFonts w:eastAsia="Calibri"/>
              <w:lang w:eastAsia="en-GB"/>
            </w:rPr>
          </w:pPr>
        </w:p>
        <w:p w14:paraId="18140A21" w14:textId="0C51A465" w:rsidR="001A0074" w:rsidRPr="00477B87" w:rsidRDefault="006D0AB9" w:rsidP="006D0AB9">
          <w:pPr>
            <w:spacing w:after="0"/>
            <w:ind w:left="426"/>
            <w:rPr>
              <w:lang w:val="fr-BE" w:eastAsia="en-GB"/>
            </w:rPr>
          </w:pPr>
          <w:r w:rsidRPr="000B03DD">
            <w:rPr>
              <w:rFonts w:eastAsia="Calibri"/>
              <w:lang w:eastAsia="en-GB"/>
            </w:rPr>
            <w:t>La LBC/FT, notamment par l’élaboration d’une politique globale dans ce domaine, est une priorité pour la Commission.</w:t>
          </w:r>
        </w:p>
      </w:sdtContent>
    </w:sdt>
    <w:p w14:paraId="30B422AA" w14:textId="77777777" w:rsidR="00301CA3" w:rsidRPr="00477B8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5830E1F7" w14:textId="37C9A27E" w:rsidR="006D0AB9" w:rsidRPr="000B03DD" w:rsidRDefault="00477B87" w:rsidP="006D0AB9">
      <w:pPr>
        <w:spacing w:after="0"/>
        <w:ind w:left="426"/>
        <w:rPr>
          <w:rFonts w:eastAsia="Calibri"/>
          <w:lang w:eastAsia="en-GB"/>
        </w:rPr>
      </w:pPr>
      <w:r>
        <w:rPr>
          <w:rFonts w:eastAsia="Calibri"/>
          <w:lang w:eastAsia="en-GB"/>
        </w:rPr>
        <w:t>Une position dans l’unité qui</w:t>
      </w:r>
      <w:r w:rsidR="006D0AB9" w:rsidRPr="000B03DD">
        <w:rPr>
          <w:rFonts w:eastAsia="Calibri"/>
          <w:lang w:eastAsia="en-GB"/>
        </w:rPr>
        <w:t xml:space="preserve"> se concentre principalement sur les tâches suivantes :</w:t>
      </w:r>
    </w:p>
    <w:p w14:paraId="6659B52B"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 xml:space="preserve">Contribuer à la définition de la politique générale de l'UE dans le domaine de la lutte contre le blanchiment d'argent et le financement du terrorisme, notamment </w:t>
      </w:r>
      <w:r>
        <w:rPr>
          <w:rFonts w:ascii="Times New Roman" w:eastAsia="Calibri" w:hAnsi="Times New Roman" w:cs="Times New Roman"/>
          <w:lang w:eastAsia="en-GB"/>
        </w:rPr>
        <w:t>l’</w:t>
      </w:r>
      <w:r w:rsidRPr="00DF5938">
        <w:rPr>
          <w:rFonts w:ascii="Times New Roman" w:eastAsia="Calibri" w:hAnsi="Times New Roman" w:cs="Times New Roman"/>
          <w:lang w:eastAsia="en-GB"/>
        </w:rPr>
        <w:t>élaboration du droit dérivé nécessaire pour compléter le corpus réglementaire unique en matière de LBC/FT</w:t>
      </w:r>
      <w:r w:rsidRPr="000B03DD">
        <w:rPr>
          <w:rFonts w:ascii="Times New Roman" w:eastAsia="Calibri" w:hAnsi="Times New Roman" w:cs="Times New Roman"/>
          <w:lang w:eastAsia="en-GB"/>
        </w:rPr>
        <w:t>.</w:t>
      </w:r>
    </w:p>
    <w:p w14:paraId="1A8816CE" w14:textId="77777777" w:rsidR="006D0AB9"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Contribuer à la mise en œuvre et l’application effectives du cadre normatif de l’UE.</w:t>
      </w:r>
    </w:p>
    <w:p w14:paraId="71DF8AB0"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DF5938">
        <w:rPr>
          <w:rFonts w:ascii="Times New Roman" w:eastAsia="Calibri" w:hAnsi="Times New Roman" w:cs="Times New Roman"/>
          <w:lang w:eastAsia="en-GB"/>
        </w:rPr>
        <w:t xml:space="preserve">Contribuer à la participation active de la Commission européenne aux différents </w:t>
      </w:r>
      <w:r>
        <w:rPr>
          <w:rFonts w:ascii="Times New Roman" w:eastAsia="Calibri" w:hAnsi="Times New Roman" w:cs="Times New Roman"/>
          <w:lang w:eastAsia="en-GB"/>
        </w:rPr>
        <w:t>travaux</w:t>
      </w:r>
      <w:r w:rsidRPr="00DF5938">
        <w:rPr>
          <w:rFonts w:ascii="Times New Roman" w:eastAsia="Calibri" w:hAnsi="Times New Roman" w:cs="Times New Roman"/>
          <w:lang w:eastAsia="en-GB"/>
        </w:rPr>
        <w:t xml:space="preserve"> du GAFI et de son organe régional MONEYVAL</w:t>
      </w:r>
      <w:r>
        <w:rPr>
          <w:rFonts w:ascii="Times New Roman" w:eastAsia="Calibri" w:hAnsi="Times New Roman" w:cs="Times New Roman"/>
          <w:lang w:eastAsia="en-GB"/>
        </w:rPr>
        <w:t>.</w:t>
      </w:r>
    </w:p>
    <w:p w14:paraId="27D88870"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Préparer, les réunions d’importants organismes en charge de lutte contre le blanchiment d'argent, tels que le Comité de Bâle,</w:t>
      </w:r>
      <w:r>
        <w:rPr>
          <w:rFonts w:ascii="Times New Roman" w:eastAsia="Calibri" w:hAnsi="Times New Roman" w:cs="Times New Roman"/>
          <w:lang w:eastAsia="en-GB"/>
        </w:rPr>
        <w:t xml:space="preserve"> le </w:t>
      </w:r>
      <w:r w:rsidRPr="007366CD">
        <w:rPr>
          <w:rFonts w:ascii="Times New Roman" w:eastAsia="Calibri" w:hAnsi="Times New Roman" w:cs="Times New Roman"/>
          <w:lang w:eastAsia="en-GB"/>
        </w:rPr>
        <w:t>groupe Wolfsberg</w:t>
      </w:r>
      <w:r w:rsidRPr="000B03DD">
        <w:rPr>
          <w:rFonts w:ascii="Times New Roman" w:eastAsia="Calibri" w:hAnsi="Times New Roman" w:cs="Times New Roman"/>
          <w:lang w:eastAsia="en-GB"/>
        </w:rPr>
        <w:t xml:space="preserve"> et participer à ces réunions en coordination avec d’autres personnes de l’unité.</w:t>
      </w:r>
    </w:p>
    <w:p w14:paraId="38F6E5F6"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Assurer l’interface des différentes parties prenantes et acteurs des secteurs public et privé concernant différents sujets relatifs au blanchiment d'argent et au financement du terrorisme.</w:t>
      </w:r>
    </w:p>
    <w:p w14:paraId="72E0EDD3"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Rédiger des réponses aux questions orales et écrites ainsi qu’aux pétitions des membres du Parlement européen.</w:t>
      </w:r>
    </w:p>
    <w:p w14:paraId="3A10A13A" w14:textId="77777777" w:rsidR="006D0AB9" w:rsidRPr="000B03DD" w:rsidRDefault="006D0AB9" w:rsidP="006D0AB9">
      <w:pPr>
        <w:pStyle w:val="ListParagraph"/>
        <w:numPr>
          <w:ilvl w:val="0"/>
          <w:numId w:val="26"/>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Répondre (ou coordonner des réponses) à des demandes d'informations externes.</w:t>
      </w:r>
    </w:p>
    <w:p w14:paraId="2B06055D" w14:textId="77777777" w:rsidR="006D0AB9" w:rsidRDefault="006D0AB9" w:rsidP="006D0AB9">
      <w:pPr>
        <w:pStyle w:val="ListParagraph"/>
        <w:spacing w:after="0" w:line="240" w:lineRule="auto"/>
        <w:ind w:left="426"/>
        <w:jc w:val="both"/>
        <w:rPr>
          <w:rFonts w:ascii="Times New Roman" w:eastAsia="Calibri" w:hAnsi="Times New Roman" w:cs="Times New Roman"/>
          <w:lang w:eastAsia="en-GB"/>
        </w:rPr>
      </w:pPr>
    </w:p>
    <w:p w14:paraId="3D69C09B" w14:textId="4ACC1F08" w:rsidR="00301CA3" w:rsidRDefault="006D0AB9" w:rsidP="006D0AB9">
      <w:pPr>
        <w:pStyle w:val="ListParagraph"/>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Ces fonctions supposent de pouvoir rédiger des notes d’information d’une constante et bonne qualité, souvent sous pression et dans des délais contraints. Elles supposent également de savoir garder une vue d’ensemble des priorités, d’apporter son soutien à la politique globale de lutte contre le blanchiment de capitaux et le financement du terrorisme actuellement conduite au niveau de l’Union et de contribuer à son développement là où il est rendu nécessaire. Des déplacements professionnels peuvent être requis dans l’exercice de ces fonctions.</w:t>
      </w:r>
    </w:p>
    <w:p w14:paraId="13EB1BC9" w14:textId="77777777" w:rsidR="006D0AB9" w:rsidRPr="006D0AB9" w:rsidRDefault="006D0AB9" w:rsidP="006D0AB9">
      <w:pPr>
        <w:pStyle w:val="ListParagraph"/>
        <w:spacing w:after="0" w:line="240" w:lineRule="auto"/>
        <w:ind w:left="426"/>
        <w:jc w:val="both"/>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723136291"/>
            <w:placeholder>
              <w:docPart w:val="306DCD61BA4D4A9A8281E9CE17CD1DFD"/>
            </w:placeholder>
          </w:sdtPr>
          <w:sdtEndPr/>
          <w:sdtContent>
            <w:p w14:paraId="7E409EA7" w14:textId="7F0A92EA" w:rsidR="001A0074" w:rsidRPr="00477B87" w:rsidRDefault="006D0AB9" w:rsidP="006D0AB9">
              <w:pPr>
                <w:spacing w:after="0"/>
                <w:ind w:left="426"/>
                <w:rPr>
                  <w:lang w:val="fr-BE" w:eastAsia="en-GB"/>
                </w:rPr>
              </w:pPr>
              <w:r w:rsidRPr="00A85F35">
                <w:rPr>
                  <w:rFonts w:eastAsia="Calibri"/>
                  <w:lang w:eastAsia="en-GB"/>
                </w:rPr>
                <w:t>Nous recherchons une personne ayant un solide esprit d’équipe. Le candidat retenu travaillera en effet non seulement avec les collègues de son unité mais aussi un grand nombre de collègues d’autres services de la Commission et du SEAE, ainsi que des parties prenantes externes. Il devra</w:t>
              </w:r>
              <w:r w:rsidRPr="000B03DD">
                <w:rPr>
                  <w:rFonts w:eastAsia="Calibri"/>
                  <w:lang w:eastAsia="en-GB"/>
                </w:rPr>
                <w:t xml:space="preserve"> savoir travailler avec d’autres personnes pour atteindre de manière efficace un objectif commun. Une capacité d’écoute et </w:t>
              </w:r>
              <w:r w:rsidRPr="000B03DD">
                <w:rPr>
                  <w:rFonts w:eastAsia="Calibri"/>
                  <w:lang w:eastAsia="en-GB"/>
                </w:rPr>
                <w:lastRenderedPageBreak/>
                <w:t xml:space="preserve">d’ouverture aux idées de chacun, la volonté de travailler pour le bien du groupe dans son ensemble ainsi qu’un sens aigu des responsabilités sont des qualités essentielles. </w:t>
              </w:r>
            </w:p>
          </w:sdtContent>
        </w:sdt>
      </w:sdtContent>
    </w:sdt>
    <w:p w14:paraId="014FBAFC" w14:textId="77777777" w:rsidR="005B3363" w:rsidRDefault="005B3363" w:rsidP="005B3363">
      <w:pPr>
        <w:pStyle w:val="ListNumber"/>
        <w:numPr>
          <w:ilvl w:val="0"/>
          <w:numId w:val="0"/>
        </w:numPr>
        <w:ind w:left="709" w:hanging="709"/>
        <w:rPr>
          <w:b/>
          <w:bCs/>
          <w:lang w:val="fr-BE" w:eastAsia="en-GB"/>
        </w:rPr>
      </w:pPr>
    </w:p>
    <w:p w14:paraId="0E0736C5" w14:textId="0AFC04C5" w:rsidR="00B31DC8" w:rsidRPr="005B3363" w:rsidRDefault="00377580" w:rsidP="005B3363">
      <w:pPr>
        <w:pStyle w:val="ListNumber"/>
        <w:numPr>
          <w:ilvl w:val="0"/>
          <w:numId w:val="0"/>
        </w:numPr>
        <w:ind w:left="709" w:hanging="709"/>
        <w:rPr>
          <w:b/>
          <w:bCs/>
          <w:lang w:val="fr-BE" w:eastAsia="en-GB"/>
        </w:rPr>
      </w:pPr>
      <w:r w:rsidRPr="005B3363">
        <w:rPr>
          <w:b/>
          <w:bCs/>
          <w:lang w:val="fr-BE" w:eastAsia="en-GB"/>
        </w:rPr>
        <w:t>Critères d</w:t>
      </w:r>
      <w:r w:rsidR="006F23BA" w:rsidRPr="005B3363">
        <w:rPr>
          <w:b/>
          <w:bCs/>
          <w:lang w:val="fr-BE" w:eastAsia="en-GB"/>
        </w:rPr>
        <w:t>’</w:t>
      </w:r>
      <w:r w:rsidRPr="005B3363">
        <w:rPr>
          <w:b/>
          <w:bCs/>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2F720696"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w:t>
      </w:r>
      <w:r w:rsidR="006D0AB9">
        <w:rPr>
          <w:lang w:val="fr-BE" w:eastAsia="en-GB"/>
        </w:rPr>
        <w:t>cinq</w:t>
      </w:r>
      <w:r w:rsidRPr="001D3EEC">
        <w:rPr>
          <w:lang w:val="fr-BE" w:eastAsia="en-GB"/>
        </w:rPr>
        <w:t xml:space="preserve"> ans dans des fonctions administratives, judiciaires, scientifiques, techniques, de conseil ou de supervision, à un grade équivalant au groupe de fonctions administrateur AD;</w:t>
      </w:r>
    </w:p>
    <w:p w14:paraId="00DB18A5" w14:textId="32D16E17"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w:t>
      </w:r>
      <w:r w:rsidR="006D0AB9">
        <w:rPr>
          <w:lang w:val="fr-BE" w:eastAsia="en-GB"/>
        </w:rPr>
        <w:t>trois</w:t>
      </w:r>
      <w:r w:rsidRPr="001D3EEC">
        <w:rPr>
          <w:lang w:val="fr-BE" w:eastAsia="en-GB"/>
        </w:rPr>
        <w:t xml:space="preserve"> an</w:t>
      </w:r>
      <w:r w:rsidR="006D0AB9">
        <w:rPr>
          <w:lang w:val="fr-BE" w:eastAsia="en-GB"/>
        </w:rPr>
        <w:t>s</w:t>
      </w:r>
      <w:r w:rsidRPr="001D3EEC">
        <w:rPr>
          <w:lang w:val="fr-BE" w:eastAsia="en-GB"/>
        </w:rPr>
        <w:t xml:space="preserve"> </w:t>
      </w:r>
      <w:r w:rsidR="00443957" w:rsidRPr="001D3EEC">
        <w:rPr>
          <w:lang w:val="fr-BE" w:eastAsia="en-GB"/>
        </w:rPr>
        <w:t>(</w:t>
      </w:r>
      <w:r w:rsidR="006D0AB9">
        <w:rPr>
          <w:lang w:val="fr-BE" w:eastAsia="en-GB"/>
        </w:rPr>
        <w:t>36</w:t>
      </w:r>
      <w:r w:rsidR="00443957" w:rsidRPr="001D3EEC">
        <w:rPr>
          <w:lang w:val="fr-BE" w:eastAsia="en-GB"/>
        </w:rPr>
        <w:t xml:space="preserve">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eastAsia="en-GB"/>
        </w:rPr>
      </w:pPr>
    </w:p>
    <w:p w14:paraId="63AAE971" w14:textId="697ADC4C" w:rsidR="005B3363" w:rsidRPr="005B3363" w:rsidRDefault="005B3363" w:rsidP="005B3363">
      <w:pPr>
        <w:pStyle w:val="ListNumber"/>
        <w:numPr>
          <w:ilvl w:val="0"/>
          <w:numId w:val="0"/>
        </w:numPr>
        <w:ind w:left="709" w:hanging="709"/>
        <w:rPr>
          <w:b/>
          <w:bCs/>
          <w:lang w:val="fr-BE" w:eastAsia="en-GB"/>
        </w:rPr>
      </w:pPr>
      <w:r w:rsidRPr="005B3363">
        <w:rPr>
          <w:b/>
          <w:bCs/>
          <w:lang w:val="fr-BE" w:eastAsia="en-GB"/>
        </w:rPr>
        <w:t xml:space="preserve">Critères de sélection </w:t>
      </w:r>
    </w:p>
    <w:p w14:paraId="273881C7" w14:textId="77777777" w:rsidR="005B3363" w:rsidRPr="00C4363D" w:rsidRDefault="005B3363" w:rsidP="005B3363">
      <w:pPr>
        <w:tabs>
          <w:tab w:val="left" w:pos="709"/>
        </w:tabs>
        <w:spacing w:after="0"/>
        <w:ind w:right="60"/>
        <w:rPr>
          <w:lang w:eastAsia="en-GB"/>
        </w:rPr>
      </w:pPr>
      <w:r w:rsidRPr="00C4363D">
        <w:rPr>
          <w:u w:val="single"/>
          <w:lang w:eastAsia="en-GB"/>
        </w:rPr>
        <w:t>Diplôme</w:t>
      </w:r>
      <w:r w:rsidRPr="00C4363D">
        <w:rPr>
          <w:lang w:eastAsia="en-GB"/>
        </w:rPr>
        <w:t xml:space="preserve"> </w:t>
      </w:r>
    </w:p>
    <w:p w14:paraId="3DD782D7" w14:textId="77777777" w:rsidR="005B3363" w:rsidRPr="00C4363D" w:rsidRDefault="005B3363" w:rsidP="005B3363">
      <w:pPr>
        <w:rPr>
          <w:lang w:eastAsia="en-GB"/>
        </w:rPr>
      </w:pPr>
      <w:r w:rsidRPr="00C4363D">
        <w:rPr>
          <w:lang w:eastAsia="en-GB"/>
        </w:rPr>
        <w:t xml:space="preserve">- diplôme universitaire </w:t>
      </w:r>
      <w:r>
        <w:rPr>
          <w:lang w:eastAsia="en-GB"/>
        </w:rPr>
        <w:t>dans le(s) domaine(s)</w:t>
      </w:r>
      <w:r w:rsidRPr="00C4363D">
        <w:rPr>
          <w:lang w:eastAsia="en-GB"/>
        </w:rPr>
        <w:t xml:space="preserve">: </w:t>
      </w:r>
      <w:r>
        <w:rPr>
          <w:lang w:eastAsia="en-GB"/>
        </w:rPr>
        <w:t>sciences humaines ou sciences naturelles</w:t>
      </w:r>
      <w:r w:rsidRPr="00C4363D">
        <w:rPr>
          <w:lang w:eastAsia="en-GB"/>
        </w:rPr>
        <w:t xml:space="preserve"> ou </w:t>
      </w:r>
    </w:p>
    <w:p w14:paraId="0FC339E4" w14:textId="77777777" w:rsidR="005B3363" w:rsidRPr="00C4363D" w:rsidRDefault="005B3363" w:rsidP="005B3363">
      <w:pPr>
        <w:rPr>
          <w:lang w:eastAsia="en-GB"/>
        </w:rPr>
      </w:pPr>
      <w:r w:rsidRPr="00C4363D">
        <w:rPr>
          <w:lang w:eastAsia="en-GB"/>
        </w:rPr>
        <w:t>- formation professionnelle ou expérience professionnelle de niveau équivalent</w:t>
      </w:r>
    </w:p>
    <w:p w14:paraId="4F9093C1" w14:textId="77777777" w:rsidR="005B3363" w:rsidRPr="00C4363D" w:rsidRDefault="005B3363" w:rsidP="005B3363">
      <w:pPr>
        <w:tabs>
          <w:tab w:val="left" w:pos="709"/>
        </w:tabs>
        <w:spacing w:after="0"/>
        <w:ind w:right="60"/>
        <w:rPr>
          <w:lang w:eastAsia="en-GB"/>
        </w:rPr>
      </w:pPr>
    </w:p>
    <w:p w14:paraId="7881283B" w14:textId="77777777" w:rsidR="005B3363" w:rsidRPr="00C4363D" w:rsidRDefault="005B3363" w:rsidP="005B3363">
      <w:pPr>
        <w:tabs>
          <w:tab w:val="left" w:pos="709"/>
        </w:tabs>
        <w:spacing w:after="0"/>
        <w:ind w:right="60"/>
        <w:rPr>
          <w:u w:val="single"/>
          <w:lang w:eastAsia="en-GB"/>
        </w:rPr>
      </w:pPr>
      <w:r w:rsidRPr="00C4363D">
        <w:rPr>
          <w:u w:val="single"/>
          <w:lang w:eastAsia="en-GB"/>
        </w:rPr>
        <w:t>Expérience professionnelle</w:t>
      </w:r>
    </w:p>
    <w:p w14:paraId="7C28ED69" w14:textId="3983286B" w:rsidR="005B3363" w:rsidRPr="00C4363D" w:rsidRDefault="005B3363" w:rsidP="005B3363">
      <w:pPr>
        <w:rPr>
          <w:u w:val="single"/>
          <w:lang w:eastAsia="en-GB"/>
        </w:rPr>
      </w:pPr>
      <w:r>
        <w:t>U</w:t>
      </w:r>
      <w:r w:rsidRPr="000B03DD">
        <w:t xml:space="preserve">n </w:t>
      </w:r>
      <w:r>
        <w:t xml:space="preserve">très </w:t>
      </w:r>
      <w:r w:rsidRPr="000B03DD">
        <w:t>bon</w:t>
      </w:r>
      <w:r>
        <w:t xml:space="preserve"> </w:t>
      </w:r>
      <w:r w:rsidRPr="000B03DD">
        <w:t>niveau de connaissance et / ou une expérience dans le domaine des politiques de lutte contre le blanchiment d'argent est nécessaire, au niveau national et / ou international.</w:t>
      </w:r>
    </w:p>
    <w:p w14:paraId="4928DF76" w14:textId="77777777" w:rsidR="005B3363" w:rsidRPr="00C4363D" w:rsidRDefault="005B3363" w:rsidP="005B3363">
      <w:pPr>
        <w:tabs>
          <w:tab w:val="left" w:pos="709"/>
        </w:tabs>
        <w:spacing w:after="0"/>
        <w:ind w:right="60"/>
        <w:rPr>
          <w:u w:val="single"/>
          <w:lang w:eastAsia="en-GB"/>
        </w:rPr>
      </w:pPr>
    </w:p>
    <w:p w14:paraId="401197B2" w14:textId="77777777" w:rsidR="005B3363" w:rsidRPr="00C4363D" w:rsidRDefault="005B3363" w:rsidP="005B3363">
      <w:pPr>
        <w:tabs>
          <w:tab w:val="left" w:pos="709"/>
        </w:tabs>
        <w:spacing w:after="0"/>
        <w:ind w:right="60"/>
        <w:rPr>
          <w:u w:val="single"/>
          <w:lang w:eastAsia="en-GB"/>
        </w:rPr>
      </w:pPr>
      <w:r w:rsidRPr="00C4363D">
        <w:rPr>
          <w:u w:val="single"/>
          <w:lang w:eastAsia="en-GB"/>
        </w:rPr>
        <w:t>Langue(s) nécessaire(s) pour l'accomplissement des tâches</w:t>
      </w:r>
    </w:p>
    <w:p w14:paraId="48CD0D7E" w14:textId="77777777" w:rsidR="005B3363" w:rsidRPr="00C4363D" w:rsidRDefault="005B3363" w:rsidP="005B3363">
      <w:pPr>
        <w:rPr>
          <w:u w:val="single"/>
          <w:lang w:eastAsia="en-GB"/>
        </w:rPr>
      </w:pPr>
      <w:r>
        <w:t>U</w:t>
      </w:r>
      <w:r w:rsidRPr="000B03DD">
        <w:t>ne excellente maîtrise de l'anglais est essentielle, une bonne maîtrise du français étant un atout</w:t>
      </w:r>
      <w:r w:rsidRPr="00D86EEB">
        <w:t>.</w:t>
      </w:r>
    </w:p>
    <w:p w14:paraId="15B88AA0" w14:textId="77777777" w:rsidR="005B3363" w:rsidRPr="005B3363" w:rsidRDefault="005B3363" w:rsidP="00377580">
      <w:pPr>
        <w:rPr>
          <w:lang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494564495">
    <w:abstractNumId w:val="21"/>
  </w:num>
  <w:num w:numId="27" w16cid:durableId="1077433104">
    <w:abstractNumId w:val="2"/>
  </w:num>
  <w:num w:numId="28" w16cid:durableId="1006711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734D"/>
    <w:rsid w:val="00080A71"/>
    <w:rsid w:val="000914BF"/>
    <w:rsid w:val="00097587"/>
    <w:rsid w:val="001A0074"/>
    <w:rsid w:val="001D3EEC"/>
    <w:rsid w:val="00215A56"/>
    <w:rsid w:val="0028413D"/>
    <w:rsid w:val="002841B7"/>
    <w:rsid w:val="002A6E30"/>
    <w:rsid w:val="002B37EB"/>
    <w:rsid w:val="00301CA3"/>
    <w:rsid w:val="003327F2"/>
    <w:rsid w:val="00377580"/>
    <w:rsid w:val="00394581"/>
    <w:rsid w:val="00443957"/>
    <w:rsid w:val="00462268"/>
    <w:rsid w:val="00477B87"/>
    <w:rsid w:val="004A4BB7"/>
    <w:rsid w:val="004D3B51"/>
    <w:rsid w:val="0053405E"/>
    <w:rsid w:val="00556CBD"/>
    <w:rsid w:val="005B3363"/>
    <w:rsid w:val="005C2355"/>
    <w:rsid w:val="006510E1"/>
    <w:rsid w:val="006A1CB2"/>
    <w:rsid w:val="006B47B6"/>
    <w:rsid w:val="006D0AB9"/>
    <w:rsid w:val="006F23BA"/>
    <w:rsid w:val="0074301E"/>
    <w:rsid w:val="007A10AA"/>
    <w:rsid w:val="007A1396"/>
    <w:rsid w:val="007B5FAE"/>
    <w:rsid w:val="007E0991"/>
    <w:rsid w:val="007E131B"/>
    <w:rsid w:val="007E4F35"/>
    <w:rsid w:val="008241B0"/>
    <w:rsid w:val="008315CD"/>
    <w:rsid w:val="00866E7F"/>
    <w:rsid w:val="008A0FF3"/>
    <w:rsid w:val="0092295D"/>
    <w:rsid w:val="00974906"/>
    <w:rsid w:val="00A65B97"/>
    <w:rsid w:val="00A917BE"/>
    <w:rsid w:val="00AE487D"/>
    <w:rsid w:val="00B31DC8"/>
    <w:rsid w:val="00B566C1"/>
    <w:rsid w:val="00BD5697"/>
    <w:rsid w:val="00BF389A"/>
    <w:rsid w:val="00C516C9"/>
    <w:rsid w:val="00C518F5"/>
    <w:rsid w:val="00D703FC"/>
    <w:rsid w:val="00D82B48"/>
    <w:rsid w:val="00DC5C83"/>
    <w:rsid w:val="00DF27C9"/>
    <w:rsid w:val="00E0579E"/>
    <w:rsid w:val="00E5708E"/>
    <w:rsid w:val="00E850B7"/>
    <w:rsid w:val="00E927FE"/>
    <w:rsid w:val="00F04943"/>
    <w:rsid w:val="00F2361B"/>
    <w:rsid w:val="00F65CC2"/>
    <w:rsid w:val="00FE3A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6D0AB9"/>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06DCD61BA4D4A9A8281E9CE17CD1DFD"/>
        <w:category>
          <w:name w:val="General"/>
          <w:gallery w:val="placeholder"/>
        </w:category>
        <w:types>
          <w:type w:val="bbPlcHdr"/>
        </w:types>
        <w:behaviors>
          <w:behavior w:val="content"/>
        </w:behaviors>
        <w:guid w:val="{B4B4C413-D976-47A2-8B79-398B02BB83DA}"/>
      </w:docPartPr>
      <w:docPartBody>
        <w:p w:rsidR="001D6494" w:rsidRDefault="001D6494" w:rsidP="001D6494">
          <w:pPr>
            <w:pStyle w:val="306DCD61BA4D4A9A8281E9CE17CD1DFD"/>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AE4304"/>
    <w:multiLevelType w:val="multilevel"/>
    <w:tmpl w:val="63A090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9804709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4734D"/>
    <w:rsid w:val="00082783"/>
    <w:rsid w:val="001D6494"/>
    <w:rsid w:val="00534FB6"/>
    <w:rsid w:val="006510E1"/>
    <w:rsid w:val="007818B4"/>
    <w:rsid w:val="008F2A96"/>
    <w:rsid w:val="00983F83"/>
    <w:rsid w:val="00B36F01"/>
    <w:rsid w:val="00BD5697"/>
    <w:rsid w:val="00CB23CA"/>
    <w:rsid w:val="00DF27C9"/>
    <w:rsid w:val="00E96C07"/>
    <w:rsid w:val="00F00294"/>
    <w:rsid w:val="00F2361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649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06DCD61BA4D4A9A8281E9CE17CD1DFD">
    <w:name w:val="306DCD61BA4D4A9A8281E9CE17CD1DFD"/>
    <w:rsid w:val="001D649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30c666ed-fe46-43d6-bf30-6de2567680e6"/>
    <ds:schemaRef ds:uri="http://www.w3.org/XML/1998/namespac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99FDB76-BAB1-40A2-8452-6F14E751C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1455</Words>
  <Characters>8298</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2025-07-09T11:02:00Z</dcterms:created>
  <dcterms:modified xsi:type="dcterms:W3CDTF">2025-07-10T09:02:00Z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